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019" w:type="dxa"/>
        <w:tblInd w:w="-885" w:type="dxa"/>
        <w:tblLayout w:type="fixed"/>
        <w:tblLook w:val="04A0"/>
      </w:tblPr>
      <w:tblGrid>
        <w:gridCol w:w="5104"/>
        <w:gridCol w:w="1276"/>
        <w:gridCol w:w="2693"/>
        <w:gridCol w:w="1843"/>
        <w:gridCol w:w="1984"/>
        <w:gridCol w:w="3119"/>
      </w:tblGrid>
      <w:tr w:rsidR="00817215" w:rsidTr="00D2186C">
        <w:tc>
          <w:tcPr>
            <w:tcW w:w="16019" w:type="dxa"/>
            <w:gridSpan w:val="6"/>
            <w:tcBorders>
              <w:top w:val="thinThickLargeGap" w:sz="24" w:space="0" w:color="auto"/>
              <w:left w:val="thinThickSmallGap" w:sz="24" w:space="0" w:color="auto"/>
              <w:right w:val="thickThinSmallGap" w:sz="18" w:space="0" w:color="auto"/>
            </w:tcBorders>
            <w:shd w:val="clear" w:color="auto" w:fill="00B050"/>
          </w:tcPr>
          <w:p w:rsidR="00817215" w:rsidRPr="0005293D" w:rsidRDefault="00DC6148" w:rsidP="0005293D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</w:rPr>
            </w:pPr>
            <w:r w:rsidRPr="002B35FC">
              <w:rPr>
                <w:rFonts w:asciiTheme="majorHAnsi" w:hAnsiTheme="majorHAnsi"/>
                <w:b/>
                <w:sz w:val="28"/>
              </w:rPr>
              <w:t xml:space="preserve">A </w:t>
            </w:r>
            <w:r w:rsidR="009E7521" w:rsidRPr="002B35FC">
              <w:rPr>
                <w:rFonts w:asciiTheme="majorHAnsi" w:hAnsiTheme="majorHAnsi"/>
                <w:b/>
                <w:sz w:val="28"/>
              </w:rPr>
              <w:t xml:space="preserve">COURT </w:t>
            </w:r>
            <w:r w:rsidR="009E7521" w:rsidRPr="002B35FC">
              <w:rPr>
                <w:rFonts w:asciiTheme="majorHAnsi" w:hAnsiTheme="majorHAnsi"/>
                <w:b/>
                <w:sz w:val="28"/>
                <w:lang w:val="fr-FR"/>
              </w:rPr>
              <w:t>TERME</w:t>
            </w:r>
            <w:r w:rsidR="009E7521" w:rsidRPr="002B35FC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046FB3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046FB3" w:rsidRPr="009E7521" w:rsidRDefault="00046FB3" w:rsidP="00DC6148">
            <w:pPr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Mettre en place une cellule qualité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46FB3" w:rsidRPr="004F7B01" w:rsidRDefault="00C1783A" w:rsidP="00C1783A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2</w:t>
            </w:r>
            <w:r w:rsidR="00033C4B">
              <w:rPr>
                <w:rFonts w:asciiTheme="majorHAnsi" w:hAnsiTheme="majorHAnsi"/>
                <w:sz w:val="18"/>
                <w:szCs w:val="18"/>
                <w:lang w:val="fr-FR"/>
              </w:rPr>
              <w:t>0</w:t>
            </w:r>
            <w:r w:rsidR="00230BDA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</w:t>
            </w:r>
            <w:r>
              <w:rPr>
                <w:rFonts w:asciiTheme="majorHAnsi" w:hAnsiTheme="majorHAnsi"/>
                <w:sz w:val="18"/>
                <w:szCs w:val="18"/>
                <w:lang w:val="fr-FR"/>
              </w:rPr>
              <w:t>0</w:t>
            </w:r>
            <w:r w:rsidR="00033C4B">
              <w:rPr>
                <w:rFonts w:asciiTheme="majorHAnsi" w:hAnsiTheme="majorHAnsi"/>
                <w:sz w:val="18"/>
                <w:szCs w:val="18"/>
                <w:lang w:val="fr-FR"/>
              </w:rPr>
              <w:t>1</w:t>
            </w:r>
            <w:r w:rsidR="00230BDA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</w:t>
            </w:r>
            <w:r w:rsidR="00DC6148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201</w:t>
            </w:r>
            <w:r>
              <w:rPr>
                <w:rFonts w:asciiTheme="majorHAnsi" w:hAnsiTheme="maj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693" w:type="dxa"/>
            <w:vAlign w:val="center"/>
          </w:tcPr>
          <w:p w:rsidR="00046FB3" w:rsidRPr="009E7521" w:rsidRDefault="00046FB3" w:rsidP="00DC6148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Cellule qualité opérationnelle,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46FB3" w:rsidRPr="00046FB3" w:rsidRDefault="00046FB3" w:rsidP="00AA4B8C">
            <w:pPr>
              <w:jc w:val="center"/>
              <w:rPr>
                <w:rFonts w:asciiTheme="majorHAnsi" w:hAnsiTheme="majorHAnsi"/>
                <w:sz w:val="18"/>
                <w:lang w:val="fr-FR"/>
              </w:rPr>
            </w:pPr>
            <w:r w:rsidRPr="00046FB3">
              <w:rPr>
                <w:rFonts w:asciiTheme="majorHAnsi" w:hAnsiTheme="majorHAnsi"/>
                <w:sz w:val="18"/>
                <w:lang w:val="fr-FR"/>
              </w:rPr>
              <w:t>Tous ministères et institutions de la République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046FB3" w:rsidRPr="00046FB3" w:rsidRDefault="00046FB3" w:rsidP="00AA4B8C">
            <w:pPr>
              <w:jc w:val="center"/>
              <w:rPr>
                <w:rFonts w:asciiTheme="majorHAnsi" w:hAnsiTheme="majorHAnsi"/>
                <w:sz w:val="18"/>
                <w:lang w:val="fr-FR"/>
              </w:rPr>
            </w:pPr>
            <w:r w:rsidRPr="00046FB3">
              <w:rPr>
                <w:rFonts w:asciiTheme="majorHAnsi" w:hAnsiTheme="majorHAnsi"/>
                <w:sz w:val="18"/>
                <w:lang w:val="fr-FR"/>
              </w:rPr>
              <w:t>CAB/SG/</w:t>
            </w:r>
          </w:p>
          <w:p w:rsidR="00046FB3" w:rsidRPr="00046FB3" w:rsidRDefault="00046FB3" w:rsidP="00AA4B8C">
            <w:pPr>
              <w:jc w:val="center"/>
              <w:rPr>
                <w:rFonts w:asciiTheme="majorHAnsi" w:hAnsiTheme="majorHAnsi"/>
                <w:sz w:val="18"/>
                <w:lang w:val="fr-FR"/>
              </w:rPr>
            </w:pPr>
            <w:r w:rsidRPr="00046FB3">
              <w:rPr>
                <w:rFonts w:asciiTheme="majorHAnsi" w:hAnsiTheme="majorHAnsi"/>
                <w:sz w:val="18"/>
                <w:lang w:val="fr-FR"/>
              </w:rPr>
              <w:t>Directions Centrales/Institutions rattachées</w:t>
            </w:r>
          </w:p>
        </w:tc>
        <w:tc>
          <w:tcPr>
            <w:tcW w:w="3119" w:type="dxa"/>
            <w:tcBorders>
              <w:right w:val="thickThinSmallGap" w:sz="18" w:space="0" w:color="auto"/>
            </w:tcBorders>
            <w:vAlign w:val="center"/>
          </w:tcPr>
          <w:p w:rsidR="00046FB3" w:rsidRPr="009E7521" w:rsidRDefault="00072060" w:rsidP="00072060">
            <w:pPr>
              <w:jc w:val="center"/>
              <w:rPr>
                <w:rFonts w:asciiTheme="majorHAnsi" w:hAnsiTheme="majorHAnsi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9E7521" w:rsidTr="00D2186C">
        <w:tc>
          <w:tcPr>
            <w:tcW w:w="16019" w:type="dxa"/>
            <w:gridSpan w:val="6"/>
            <w:tcBorders>
              <w:left w:val="thinThickSmallGap" w:sz="24" w:space="0" w:color="auto"/>
              <w:right w:val="thickThinSmallGap" w:sz="18" w:space="0" w:color="auto"/>
            </w:tcBorders>
            <w:shd w:val="clear" w:color="auto" w:fill="00B0F0"/>
          </w:tcPr>
          <w:p w:rsidR="009E7521" w:rsidRPr="0005293D" w:rsidRDefault="00DC6148" w:rsidP="0005293D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lang w:val="fr-FR"/>
              </w:rPr>
            </w:pPr>
            <w:r w:rsidRPr="002B35FC">
              <w:rPr>
                <w:rFonts w:asciiTheme="majorHAnsi" w:hAnsiTheme="majorHAnsi"/>
                <w:b/>
                <w:sz w:val="28"/>
                <w:lang w:val="fr-FR"/>
              </w:rPr>
              <w:t xml:space="preserve">A </w:t>
            </w:r>
            <w:r w:rsidR="009E7521" w:rsidRPr="002B35FC">
              <w:rPr>
                <w:rFonts w:asciiTheme="majorHAnsi" w:hAnsiTheme="majorHAnsi"/>
                <w:b/>
                <w:sz w:val="28"/>
                <w:lang w:val="fr-FR"/>
              </w:rPr>
              <w:t>MOYEN OU LONG TERME</w:t>
            </w:r>
          </w:p>
        </w:tc>
      </w:tr>
      <w:tr w:rsidR="00D2186C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D2186C" w:rsidRPr="009E7521" w:rsidRDefault="00D2186C" w:rsidP="00C44EC7">
            <w:pPr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Prévoir au budget du département une ligne pour le renforcement des capacités des membres de la cellule qualité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4F7B01" w:rsidRDefault="00D2186C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</w:p>
          <w:p w:rsidR="00D2186C" w:rsidRPr="004F7B01" w:rsidRDefault="00AE7ECB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</w:t>
            </w:r>
            <w:r w:rsidR="00D2186C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/01/2017</w:t>
            </w:r>
          </w:p>
        </w:tc>
        <w:tc>
          <w:tcPr>
            <w:tcW w:w="2693" w:type="dxa"/>
          </w:tcPr>
          <w:p w:rsidR="00D2186C" w:rsidRDefault="00D2186C" w:rsidP="00D52BED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La ligne de renforcement des capacités des membres de la cellule qualité est disponible</w:t>
            </w:r>
          </w:p>
          <w:p w:rsidR="00A12DD8" w:rsidRPr="00D52BED" w:rsidRDefault="00A12DD8" w:rsidP="00A12DD8">
            <w:pPr>
              <w:pStyle w:val="Paragraphedeliste"/>
              <w:ind w:left="176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D2186C" w:rsidRPr="00123CD6" w:rsidRDefault="00D2186C" w:rsidP="00AA4B8C">
            <w:pPr>
              <w:jc w:val="center"/>
              <w:rPr>
                <w:rFonts w:asciiTheme="majorHAnsi" w:hAnsiTheme="majorHAnsi"/>
                <w:b/>
                <w:lang w:val="fr-FR"/>
              </w:rPr>
            </w:pPr>
          </w:p>
          <w:p w:rsidR="00D2186C" w:rsidRPr="00123CD6" w:rsidRDefault="00D2186C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Tous ministères et institutions de la République</w:t>
            </w:r>
          </w:p>
        </w:tc>
        <w:tc>
          <w:tcPr>
            <w:tcW w:w="1984" w:type="dxa"/>
            <w:vMerge w:val="restart"/>
            <w:shd w:val="clear" w:color="auto" w:fill="FFC000"/>
            <w:vAlign w:val="center"/>
          </w:tcPr>
          <w:p w:rsidR="00D2186C" w:rsidRPr="00123CD6" w:rsidRDefault="00D2186C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D31A13" w:rsidRDefault="00D2186C" w:rsidP="00AA4B8C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D31A13">
              <w:rPr>
                <w:rFonts w:asciiTheme="majorHAnsi" w:hAnsiTheme="majorHAnsi"/>
                <w:sz w:val="20"/>
                <w:lang w:val="fr-FR"/>
              </w:rPr>
              <w:t>CAB/SG/</w:t>
            </w:r>
          </w:p>
          <w:p w:rsidR="00D2186C" w:rsidRPr="00123CD6" w:rsidRDefault="00D2186C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D31A13">
              <w:rPr>
                <w:rFonts w:asciiTheme="majorHAnsi" w:hAnsiTheme="majorHAnsi"/>
                <w:sz w:val="20"/>
                <w:lang w:val="fr-FR"/>
              </w:rPr>
              <w:t>Directions Centrales/Institutions rattachées</w:t>
            </w:r>
          </w:p>
        </w:tc>
        <w:tc>
          <w:tcPr>
            <w:tcW w:w="3119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86C" w:rsidRPr="00FC3CA2" w:rsidRDefault="00D2186C" w:rsidP="00C44EC7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D2186C" w:rsidTr="006522D3">
        <w:tc>
          <w:tcPr>
            <w:tcW w:w="5104" w:type="dxa"/>
            <w:tcBorders>
              <w:left w:val="thinThickSmallGap" w:sz="24" w:space="0" w:color="auto"/>
            </w:tcBorders>
          </w:tcPr>
          <w:p w:rsidR="00D2186C" w:rsidRPr="009E7521" w:rsidRDefault="00D2186C" w:rsidP="00AA4B8C">
            <w:pPr>
              <w:jc w:val="both"/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Mettre en place un système de management de la qualité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4F7B01" w:rsidRDefault="00D2186C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F7B01">
              <w:rPr>
                <w:rFonts w:asciiTheme="majorHAnsi" w:hAnsiTheme="majorHAnsi"/>
                <w:sz w:val="18"/>
                <w:szCs w:val="18"/>
                <w:lang w:val="fr-FR"/>
              </w:rPr>
              <w:t>01/03/2017</w:t>
            </w:r>
          </w:p>
        </w:tc>
        <w:tc>
          <w:tcPr>
            <w:tcW w:w="2693" w:type="dxa"/>
          </w:tcPr>
          <w:p w:rsidR="00D2186C" w:rsidRDefault="00D2186C" w:rsidP="002B35FC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Système de management de la qualité mise en place</w:t>
            </w:r>
          </w:p>
          <w:p w:rsidR="00A12DD8" w:rsidRPr="00D52BED" w:rsidRDefault="00A12DD8" w:rsidP="00A12DD8">
            <w:pPr>
              <w:pStyle w:val="Paragraphedeliste"/>
              <w:ind w:left="176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86C" w:rsidRPr="00FC3CA2" w:rsidRDefault="00D2186C" w:rsidP="00C44EC7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D2186C" w:rsidTr="006522D3">
        <w:tc>
          <w:tcPr>
            <w:tcW w:w="5104" w:type="dxa"/>
            <w:tcBorders>
              <w:left w:val="thinThickSmallGap" w:sz="24" w:space="0" w:color="auto"/>
            </w:tcBorders>
          </w:tcPr>
          <w:p w:rsidR="00D2186C" w:rsidRPr="009E7521" w:rsidRDefault="00D2186C" w:rsidP="00AA4B8C">
            <w:pPr>
              <w:jc w:val="both"/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Inclure dans tous les appels d’offre des marchés publics, la référence systématique aux normes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4F7B01" w:rsidRDefault="00D2186C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4F7B01">
              <w:rPr>
                <w:rFonts w:asciiTheme="majorHAnsi" w:hAnsiTheme="majorHAnsi"/>
                <w:sz w:val="18"/>
                <w:szCs w:val="18"/>
                <w:lang w:val="fr-FR"/>
              </w:rPr>
              <w:t>31/</w:t>
            </w:r>
            <w:r w:rsidR="006522D3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03</w:t>
            </w:r>
            <w:r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/2017</w:t>
            </w:r>
          </w:p>
        </w:tc>
        <w:tc>
          <w:tcPr>
            <w:tcW w:w="2693" w:type="dxa"/>
          </w:tcPr>
          <w:p w:rsidR="00D2186C" w:rsidRDefault="00D2186C" w:rsidP="00D52BED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Tous les marchés publics sont désormais référencés aux normes</w:t>
            </w:r>
          </w:p>
          <w:p w:rsidR="00A12DD8" w:rsidRPr="00D52BED" w:rsidRDefault="00A12DD8" w:rsidP="00A12DD8">
            <w:pPr>
              <w:pStyle w:val="Paragraphedeliste"/>
              <w:ind w:left="176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86C" w:rsidRPr="00FC3CA2" w:rsidRDefault="00D2186C" w:rsidP="00C44EC7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D2186C" w:rsidTr="006522D3">
        <w:tc>
          <w:tcPr>
            <w:tcW w:w="5104" w:type="dxa"/>
            <w:tcBorders>
              <w:left w:val="thinThickSmallGap" w:sz="24" w:space="0" w:color="auto"/>
            </w:tcBorders>
          </w:tcPr>
          <w:p w:rsidR="00D2186C" w:rsidRPr="009E7521" w:rsidRDefault="00D2186C" w:rsidP="00C44EC7">
            <w:pPr>
              <w:jc w:val="both"/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Veiller à ce que tout produit ou service mis à la consommation sur le territoire national soit conforme aux normes en vigueur. La preuve de la conformité est du ressort de l’importateur, de l’exportateur ou</w:t>
            </w:r>
            <w:r>
              <w:rPr>
                <w:rFonts w:asciiTheme="majorHAnsi" w:hAnsiTheme="majorHAnsi"/>
                <w:lang w:val="fr-FR"/>
              </w:rPr>
              <w:t xml:space="preserve"> du prestataire, du fabriquant et </w:t>
            </w:r>
            <w:r w:rsidRPr="009E7521">
              <w:rPr>
                <w:rFonts w:asciiTheme="majorHAnsi" w:hAnsiTheme="majorHAnsi"/>
                <w:lang w:val="fr-FR"/>
              </w:rPr>
              <w:t>du producteur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4F7B01" w:rsidRDefault="00C1783A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30/03</w:t>
            </w:r>
            <w:r w:rsidR="00D2186C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/2017</w:t>
            </w:r>
          </w:p>
        </w:tc>
        <w:tc>
          <w:tcPr>
            <w:tcW w:w="2693" w:type="dxa"/>
            <w:vAlign w:val="center"/>
          </w:tcPr>
          <w:p w:rsidR="00D2186C" w:rsidRPr="00FF1367" w:rsidRDefault="00D2186C" w:rsidP="00D52BED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Les produits et services mis en consommation sur le ter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ritoire national sont conformes</w:t>
            </w:r>
          </w:p>
          <w:p w:rsidR="00D2186C" w:rsidRPr="009E7521" w:rsidRDefault="00D2186C" w:rsidP="00D52BED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D2186C" w:rsidRPr="00FC3CA2" w:rsidRDefault="00D2186C" w:rsidP="00C44EC7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D2186C" w:rsidTr="00A12DD8">
        <w:tc>
          <w:tcPr>
            <w:tcW w:w="5104" w:type="dxa"/>
            <w:tcBorders>
              <w:left w:val="thinThickSmallGap" w:sz="24" w:space="0" w:color="auto"/>
              <w:bottom w:val="thickThinSmallGap" w:sz="12" w:space="0" w:color="auto"/>
            </w:tcBorders>
            <w:vAlign w:val="center"/>
          </w:tcPr>
          <w:p w:rsidR="00D2186C" w:rsidRPr="009E7521" w:rsidRDefault="00D2186C" w:rsidP="00AA4B8C">
            <w:pPr>
              <w:rPr>
                <w:rFonts w:asciiTheme="majorHAnsi" w:hAnsiTheme="majorHAnsi"/>
                <w:lang w:val="fr-FR"/>
              </w:rPr>
            </w:pPr>
            <w:r w:rsidRPr="009E7521">
              <w:rPr>
                <w:rFonts w:asciiTheme="majorHAnsi" w:hAnsiTheme="majorHAnsi"/>
                <w:lang w:val="fr-FR"/>
              </w:rPr>
              <w:t>Mettre en œuvre la politique qualité dans tous les services tant du secteur public que privé</w:t>
            </w:r>
          </w:p>
        </w:tc>
        <w:tc>
          <w:tcPr>
            <w:tcW w:w="1276" w:type="dxa"/>
            <w:tcBorders>
              <w:bottom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D2186C" w:rsidRPr="004F7B01" w:rsidRDefault="0084580C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30/03</w:t>
            </w:r>
            <w:r w:rsidR="00D2186C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/2017</w:t>
            </w:r>
          </w:p>
        </w:tc>
        <w:tc>
          <w:tcPr>
            <w:tcW w:w="2693" w:type="dxa"/>
            <w:tcBorders>
              <w:bottom w:val="thickThinSmallGap" w:sz="12" w:space="0" w:color="auto"/>
            </w:tcBorders>
            <w:vAlign w:val="center"/>
          </w:tcPr>
          <w:p w:rsidR="00D2186C" w:rsidRPr="009E7521" w:rsidRDefault="00D2186C" w:rsidP="00A12DD8">
            <w:pPr>
              <w:pStyle w:val="Paragraphedeliste"/>
              <w:numPr>
                <w:ilvl w:val="0"/>
                <w:numId w:val="1"/>
              </w:numPr>
              <w:ind w:left="176" w:hanging="176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La politique qualité </w:t>
            </w:r>
            <w:r w:rsidRPr="00FD4D1E">
              <w:rPr>
                <w:rFonts w:asciiTheme="majorHAnsi" w:hAnsiTheme="majorHAnsi"/>
                <w:sz w:val="19"/>
                <w:szCs w:val="19"/>
                <w:lang w:val="fr-FR"/>
              </w:rPr>
              <w:t>est mise en œuvre dans toutes les banches d’activités publiques et privées</w:t>
            </w:r>
          </w:p>
        </w:tc>
        <w:tc>
          <w:tcPr>
            <w:tcW w:w="1843" w:type="dxa"/>
            <w:vMerge/>
            <w:tcBorders>
              <w:bottom w:val="thickThinSmallGap" w:sz="12" w:space="0" w:color="auto"/>
            </w:tcBorders>
            <w:shd w:val="clear" w:color="auto" w:fill="FFFF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tcBorders>
              <w:bottom w:val="thickThinSmallGap" w:sz="12" w:space="0" w:color="auto"/>
            </w:tcBorders>
            <w:shd w:val="clear" w:color="auto" w:fill="FFC000"/>
          </w:tcPr>
          <w:p w:rsidR="00D2186C" w:rsidRPr="009E7521" w:rsidRDefault="00D2186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tcBorders>
              <w:bottom w:val="thickThinSmallGap" w:sz="12" w:space="0" w:color="auto"/>
              <w:right w:val="thickThinSmallGap" w:sz="18" w:space="0" w:color="auto"/>
            </w:tcBorders>
            <w:vAlign w:val="center"/>
          </w:tcPr>
          <w:p w:rsidR="00D2186C" w:rsidRPr="00C057E9" w:rsidRDefault="00D2186C" w:rsidP="00A12DD8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C057E9">
              <w:rPr>
                <w:rFonts w:asciiTheme="majorHAnsi" w:hAnsiTheme="majorHAnsi"/>
                <w:sz w:val="20"/>
                <w:lang w:val="fr-FR"/>
              </w:rPr>
              <w:t>En cours de réalisation</w:t>
            </w:r>
          </w:p>
          <w:p w:rsidR="00A12DD8" w:rsidRDefault="00D2186C" w:rsidP="00A12DD8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2201CD">
              <w:rPr>
                <w:rFonts w:asciiTheme="majorHAnsi" w:hAnsiTheme="majorHAnsi"/>
                <w:sz w:val="20"/>
                <w:lang w:val="fr-FR"/>
              </w:rPr>
              <w:t xml:space="preserve">Le document de politique nationale de la qualité </w:t>
            </w:r>
            <w:r>
              <w:rPr>
                <w:rFonts w:asciiTheme="majorHAnsi" w:hAnsiTheme="majorHAnsi"/>
                <w:sz w:val="20"/>
                <w:lang w:val="fr-FR"/>
              </w:rPr>
              <w:t>a été validé</w:t>
            </w:r>
            <w:r w:rsidR="00A12DD8">
              <w:rPr>
                <w:rFonts w:asciiTheme="majorHAnsi" w:hAnsiTheme="majorHAnsi"/>
                <w:sz w:val="20"/>
                <w:lang w:val="fr-FR"/>
              </w:rPr>
              <w:t xml:space="preserve"> le 14 juin 2016</w:t>
            </w:r>
          </w:p>
          <w:p w:rsidR="00A12DD8" w:rsidRDefault="00A12DD8" w:rsidP="00A12DD8">
            <w:pPr>
              <w:rPr>
                <w:rFonts w:asciiTheme="majorHAnsi" w:hAnsiTheme="majorHAnsi"/>
                <w:sz w:val="20"/>
                <w:lang w:val="fr-FR"/>
              </w:rPr>
            </w:pPr>
          </w:p>
          <w:p w:rsidR="00D2186C" w:rsidRPr="009E7521" w:rsidRDefault="00D2186C" w:rsidP="00A12DD8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694CB6" w:rsidRDefault="00694CB6"/>
    <w:tbl>
      <w:tblPr>
        <w:tblStyle w:val="Grilledutableau"/>
        <w:tblW w:w="16019" w:type="dxa"/>
        <w:tblInd w:w="-885" w:type="dxa"/>
        <w:tblLayout w:type="fixed"/>
        <w:tblLook w:val="04A0"/>
      </w:tblPr>
      <w:tblGrid>
        <w:gridCol w:w="5104"/>
        <w:gridCol w:w="1276"/>
        <w:gridCol w:w="2693"/>
        <w:gridCol w:w="1843"/>
        <w:gridCol w:w="1984"/>
        <w:gridCol w:w="3119"/>
      </w:tblGrid>
      <w:tr w:rsidR="00D52BED" w:rsidTr="00D2186C">
        <w:tc>
          <w:tcPr>
            <w:tcW w:w="16019" w:type="dxa"/>
            <w:gridSpan w:val="6"/>
            <w:tcBorders>
              <w:top w:val="thinThickLargeGap" w:sz="24" w:space="0" w:color="auto"/>
              <w:left w:val="thinThickSmallGap" w:sz="24" w:space="0" w:color="auto"/>
              <w:right w:val="thickThinSmallGap" w:sz="18" w:space="0" w:color="auto"/>
            </w:tcBorders>
            <w:shd w:val="clear" w:color="auto" w:fill="00B050"/>
          </w:tcPr>
          <w:p w:rsidR="00D52BED" w:rsidRPr="0005293D" w:rsidRDefault="00DC6148" w:rsidP="0005293D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  <w:sz w:val="32"/>
              </w:rPr>
            </w:pPr>
            <w:r w:rsidRPr="002B35FC">
              <w:rPr>
                <w:rFonts w:asciiTheme="majorHAnsi" w:hAnsiTheme="majorHAnsi"/>
                <w:b/>
                <w:sz w:val="28"/>
              </w:rPr>
              <w:lastRenderedPageBreak/>
              <w:t xml:space="preserve">A </w:t>
            </w:r>
            <w:r w:rsidR="00D52BED" w:rsidRPr="002B35FC">
              <w:rPr>
                <w:rFonts w:asciiTheme="majorHAnsi" w:hAnsiTheme="majorHAnsi"/>
                <w:b/>
                <w:sz w:val="28"/>
              </w:rPr>
              <w:t>COURT TERME</w:t>
            </w:r>
          </w:p>
        </w:tc>
      </w:tr>
      <w:tr w:rsidR="00FC3CA2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FC3CA2" w:rsidRPr="00530D0F" w:rsidRDefault="00FC3CA2" w:rsidP="00B155A5">
            <w:pPr>
              <w:rPr>
                <w:lang w:val="fr-FR"/>
              </w:rPr>
            </w:pPr>
            <w:r w:rsidRPr="001F3EBC">
              <w:rPr>
                <w:rFonts w:asciiTheme="majorHAnsi" w:hAnsiTheme="majorHAnsi"/>
                <w:lang w:val="fr-FR"/>
              </w:rPr>
              <w:t>Faire adopter le décret portant attributions, organisation et fonctionnement du fonds national de promotion de</w:t>
            </w:r>
            <w:r>
              <w:rPr>
                <w:rFonts w:asciiTheme="majorHAnsi" w:hAnsiTheme="majorHAnsi"/>
                <w:lang w:val="fr-FR"/>
              </w:rPr>
              <w:t xml:space="preserve"> la</w:t>
            </w:r>
            <w:r w:rsidRPr="001F3EBC">
              <w:rPr>
                <w:rFonts w:asciiTheme="majorHAnsi" w:hAnsiTheme="majorHAnsi"/>
                <w:lang w:val="fr-FR"/>
              </w:rPr>
              <w:t xml:space="preserve"> qualité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C3CA2" w:rsidRPr="004F7B01" w:rsidRDefault="00CD6DA1" w:rsidP="00CD6DA1">
            <w:pPr>
              <w:rPr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24</w:t>
            </w:r>
            <w:r w:rsidR="00230BDA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</w:t>
            </w:r>
            <w:r w:rsidR="00033C4B">
              <w:rPr>
                <w:rFonts w:asciiTheme="majorHAnsi" w:hAnsiTheme="majorHAnsi"/>
                <w:sz w:val="18"/>
                <w:szCs w:val="18"/>
                <w:lang w:val="fr-FR"/>
              </w:rPr>
              <w:t>1</w:t>
            </w:r>
            <w:r w:rsidR="00AE7ECB">
              <w:rPr>
                <w:rFonts w:asciiTheme="majorHAnsi" w:hAnsiTheme="majorHAnsi"/>
                <w:sz w:val="18"/>
                <w:szCs w:val="18"/>
                <w:lang w:val="fr-FR"/>
              </w:rPr>
              <w:t>1</w:t>
            </w:r>
            <w:r w:rsidR="00230BDA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</w:t>
            </w:r>
            <w:r w:rsidR="00FC3CA2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2016</w:t>
            </w:r>
          </w:p>
        </w:tc>
        <w:tc>
          <w:tcPr>
            <w:tcW w:w="2693" w:type="dxa"/>
            <w:vAlign w:val="center"/>
          </w:tcPr>
          <w:p w:rsidR="00FC3CA2" w:rsidRDefault="00FC3CA2" w:rsidP="00822D5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822D5C">
              <w:rPr>
                <w:rFonts w:asciiTheme="majorHAnsi" w:hAnsiTheme="majorHAnsi"/>
                <w:sz w:val="19"/>
                <w:szCs w:val="19"/>
                <w:lang w:val="fr-FR"/>
              </w:rPr>
              <w:t>Le décret portant attribution, organisation et fonctionnement du fonds adopté en conseil des ministres</w:t>
            </w:r>
          </w:p>
          <w:p w:rsidR="00A12DD8" w:rsidRPr="00822D5C" w:rsidRDefault="00A12DD8" w:rsidP="00A12DD8">
            <w:pPr>
              <w:pStyle w:val="Paragraphedeliste"/>
              <w:ind w:left="360"/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FC3CA2" w:rsidRPr="00123CD6" w:rsidRDefault="00FC3CA2" w:rsidP="00B52961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MCIPSPT/MEF</w:t>
            </w:r>
            <w:r w:rsidR="00425305">
              <w:rPr>
                <w:rFonts w:asciiTheme="majorHAnsi" w:hAnsiTheme="majorHAnsi"/>
                <w:lang w:val="fr-FR"/>
              </w:rPr>
              <w:t>/</w:t>
            </w:r>
            <w:r w:rsidR="00425305" w:rsidRPr="00123CD6">
              <w:rPr>
                <w:rFonts w:asciiTheme="majorHAnsi" w:hAnsiTheme="majorHAnsi"/>
                <w:lang w:val="fr-FR"/>
              </w:rPr>
              <w:t xml:space="preserve"> MPD</w:t>
            </w:r>
          </w:p>
        </w:tc>
        <w:tc>
          <w:tcPr>
            <w:tcW w:w="1984" w:type="dxa"/>
            <w:vMerge w:val="restart"/>
            <w:shd w:val="clear" w:color="auto" w:fill="FFC000"/>
            <w:vAlign w:val="center"/>
          </w:tcPr>
          <w:p w:rsidR="00FC3CA2" w:rsidRPr="00123CD6" w:rsidRDefault="00A9563F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FC3CA2">
              <w:rPr>
                <w:rFonts w:asciiTheme="majorHAnsi" w:hAnsiTheme="majorHAnsi"/>
                <w:sz w:val="16"/>
                <w:lang w:val="fr-FR"/>
              </w:rPr>
              <w:t>CAB/SG/DBC/DAF/</w:t>
            </w:r>
            <w:r w:rsidRPr="00D31A13">
              <w:rPr>
                <w:rFonts w:asciiTheme="majorHAnsi" w:hAnsiTheme="majorHAnsi"/>
                <w:sz w:val="20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0"/>
                <w:lang w:val="fr-FR"/>
              </w:rPr>
              <w:t>CNSPSQAO</w:t>
            </w:r>
            <w:r w:rsidRPr="00FC3CA2">
              <w:rPr>
                <w:rFonts w:asciiTheme="majorHAnsi" w:hAnsiTheme="majorHAnsi"/>
                <w:sz w:val="16"/>
                <w:lang w:val="fr-FR"/>
              </w:rPr>
              <w:t>/Institutions rattachées</w:t>
            </w:r>
            <w:r w:rsidRPr="00123CD6">
              <w:rPr>
                <w:rFonts w:asciiTheme="majorHAnsi" w:hAnsiTheme="majorHAnsi"/>
                <w:lang w:val="fr-FR"/>
              </w:rPr>
              <w:t xml:space="preserve"> </w:t>
            </w:r>
          </w:p>
        </w:tc>
        <w:tc>
          <w:tcPr>
            <w:tcW w:w="3119" w:type="dxa"/>
            <w:tcBorders>
              <w:right w:val="thickThinSmallGap" w:sz="18" w:space="0" w:color="auto"/>
            </w:tcBorders>
            <w:vAlign w:val="center"/>
          </w:tcPr>
          <w:p w:rsidR="00FC3CA2" w:rsidRPr="001F3EBC" w:rsidRDefault="00AE7ECB" w:rsidP="00AE7ECB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>
              <w:rPr>
                <w:rFonts w:asciiTheme="majorHAnsi" w:hAnsiTheme="majorHAnsi"/>
                <w:sz w:val="20"/>
                <w:lang w:val="fr-FR"/>
              </w:rPr>
              <w:t>R</w:t>
            </w:r>
            <w:r w:rsidR="00FC3CA2">
              <w:rPr>
                <w:rFonts w:asciiTheme="majorHAnsi" w:hAnsiTheme="majorHAnsi"/>
                <w:sz w:val="20"/>
                <w:lang w:val="fr-FR"/>
              </w:rPr>
              <w:t>éalis</w:t>
            </w:r>
            <w:r>
              <w:rPr>
                <w:rFonts w:asciiTheme="majorHAnsi" w:hAnsiTheme="majorHAnsi"/>
                <w:sz w:val="20"/>
                <w:lang w:val="fr-FR"/>
              </w:rPr>
              <w:t>ée</w:t>
            </w:r>
          </w:p>
        </w:tc>
      </w:tr>
      <w:tr w:rsidR="00BB47CB" w:rsidTr="006522D3">
        <w:tc>
          <w:tcPr>
            <w:tcW w:w="5104" w:type="dxa"/>
            <w:tcBorders>
              <w:left w:val="thinThickSmallGap" w:sz="24" w:space="0" w:color="auto"/>
            </w:tcBorders>
          </w:tcPr>
          <w:p w:rsidR="00BB47CB" w:rsidRPr="00BB47CB" w:rsidRDefault="00082BD7" w:rsidP="00082BD7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 xml:space="preserve">Créer </w:t>
            </w:r>
            <w:r w:rsidR="00BB47CB">
              <w:rPr>
                <w:rFonts w:asciiTheme="majorHAnsi" w:hAnsiTheme="majorHAnsi" w:cs="Arial"/>
                <w:lang w:val="fr-FR"/>
              </w:rPr>
              <w:t xml:space="preserve"> une</w:t>
            </w:r>
            <w:r w:rsidR="00BB47CB" w:rsidRPr="00BB47C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BB47CB" w:rsidRPr="00BB47CB">
              <w:rPr>
                <w:rFonts w:ascii="Times New Roman" w:hAnsi="Times New Roman"/>
                <w:lang w:val="fr-FR"/>
              </w:rPr>
              <w:t>commission  technique de mise en place</w:t>
            </w:r>
            <w:r w:rsidR="00BB47CB">
              <w:rPr>
                <w:rFonts w:asciiTheme="majorHAnsi" w:hAnsiTheme="majorHAnsi" w:cs="Arial"/>
                <w:lang w:val="fr-FR"/>
              </w:rPr>
              <w:t xml:space="preserve"> </w:t>
            </w:r>
            <w:r w:rsidR="00BB47CB" w:rsidRPr="00BB47CB">
              <w:rPr>
                <w:rFonts w:asciiTheme="majorHAnsi" w:hAnsiTheme="majorHAnsi"/>
                <w:lang w:val="fr-FR"/>
              </w:rPr>
              <w:t>de la haute autorité de la qualité et</w:t>
            </w:r>
            <w:r w:rsidR="008514BB">
              <w:rPr>
                <w:rFonts w:asciiTheme="majorHAnsi" w:hAnsiTheme="majorHAnsi"/>
                <w:lang w:val="fr-FR"/>
              </w:rPr>
              <w:t xml:space="preserve"> de l’environnement (HAUQE) et s</w:t>
            </w:r>
            <w:r w:rsidR="00BB47CB" w:rsidRPr="00BB47CB">
              <w:rPr>
                <w:rFonts w:asciiTheme="majorHAnsi" w:hAnsiTheme="majorHAnsi"/>
                <w:lang w:val="fr-FR"/>
              </w:rPr>
              <w:t xml:space="preserve">es structures techniques de la qualité notamment </w:t>
            </w:r>
            <w:r w:rsidR="00BB47CB" w:rsidRPr="00BB47CB">
              <w:rPr>
                <w:rFonts w:asciiTheme="majorHAnsi" w:hAnsiTheme="majorHAnsi" w:cs="Times New Roman"/>
                <w:lang w:val="fr-FR"/>
              </w:rPr>
              <w:t>l’agence togolaise de normalisation (ATN), l’agence togolaise de métrologie (ATOMET), le comité togolais d’agrément (COTAG)</w:t>
            </w:r>
            <w:r w:rsidR="00BB47CB" w:rsidRPr="00BB47CB">
              <w:rPr>
                <w:rFonts w:asciiTheme="majorHAnsi" w:hAnsiTheme="majorHAnsi" w:cs="Times New Roman"/>
                <w:b/>
                <w:lang w:val="fr-FR"/>
              </w:rPr>
              <w:t xml:space="preserve"> </w:t>
            </w:r>
            <w:r w:rsidR="00BB47CB" w:rsidRPr="00BB47CB">
              <w:rPr>
                <w:rFonts w:asciiTheme="majorHAnsi" w:hAnsiTheme="majorHAnsi" w:cs="Times New Roman"/>
                <w:lang w:val="fr-FR"/>
              </w:rPr>
              <w:t>et l’agence togolaise pour la promotion de la qualité (ATOPROQ)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B47CB" w:rsidRPr="00BB47CB" w:rsidRDefault="00296E60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30/11/2016</w:t>
            </w:r>
          </w:p>
        </w:tc>
        <w:tc>
          <w:tcPr>
            <w:tcW w:w="2693" w:type="dxa"/>
          </w:tcPr>
          <w:p w:rsidR="00BB47CB" w:rsidRDefault="00BB47CB" w:rsidP="00BB47C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L’arrêté portant</w:t>
            </w:r>
            <w:r w:rsidRPr="00822D5C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création, </w:t>
            </w:r>
            <w:r w:rsidRPr="00822D5C">
              <w:rPr>
                <w:rFonts w:asciiTheme="majorHAnsi" w:hAnsiTheme="majorHAnsi"/>
                <w:sz w:val="19"/>
                <w:szCs w:val="19"/>
                <w:lang w:val="fr-FR"/>
              </w:rPr>
              <w:t>attribution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s</w:t>
            </w:r>
            <w:r w:rsidRPr="00822D5C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, organisation et fonctionnement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de la </w:t>
            </w:r>
            <w:r w:rsidRPr="00BB47CB">
              <w:rPr>
                <w:rFonts w:ascii="Times New Roman" w:hAnsi="Times New Roman"/>
                <w:lang w:val="fr-FR"/>
              </w:rPr>
              <w:t xml:space="preserve">commission  technique </w:t>
            </w:r>
            <w:r>
              <w:rPr>
                <w:rFonts w:ascii="Times New Roman" w:hAnsi="Times New Roman"/>
                <w:lang w:val="fr-FR"/>
              </w:rPr>
              <w:t xml:space="preserve">signé </w:t>
            </w:r>
          </w:p>
          <w:p w:rsidR="00BB47CB" w:rsidRPr="00BB47CB" w:rsidRDefault="00BB47CB" w:rsidP="00BB47CB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BB47CB" w:rsidRPr="00BB47CB" w:rsidRDefault="00BB47CB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:rsidR="00BB47CB" w:rsidRPr="00BB47CB" w:rsidRDefault="00BB47CB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18" w:space="0" w:color="auto"/>
            </w:tcBorders>
            <w:vAlign w:val="center"/>
          </w:tcPr>
          <w:p w:rsidR="00BB47CB" w:rsidRPr="00BB47CB" w:rsidRDefault="003B07E9" w:rsidP="00AA4B8C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>
              <w:rPr>
                <w:rFonts w:asciiTheme="majorHAnsi" w:hAnsiTheme="majorHAnsi"/>
                <w:sz w:val="20"/>
                <w:lang w:val="fr-FR"/>
              </w:rPr>
              <w:t>En cours de réalisation</w:t>
            </w:r>
          </w:p>
        </w:tc>
      </w:tr>
      <w:tr w:rsidR="00FC3CA2" w:rsidTr="00ED568D">
        <w:tc>
          <w:tcPr>
            <w:tcW w:w="5104" w:type="dxa"/>
            <w:tcBorders>
              <w:left w:val="thinThickSmallGap" w:sz="24" w:space="0" w:color="auto"/>
            </w:tcBorders>
          </w:tcPr>
          <w:p w:rsidR="00FC3CA2" w:rsidRPr="00123CD6" w:rsidRDefault="00FC3CA2" w:rsidP="00082BD7">
            <w:pPr>
              <w:jc w:val="both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Allouer une subvention de fonctionnement </w:t>
            </w:r>
            <w:r w:rsidR="00082BD7">
              <w:rPr>
                <w:rFonts w:asciiTheme="majorHAnsi" w:hAnsiTheme="majorHAnsi"/>
                <w:lang w:val="fr-FR"/>
              </w:rPr>
              <w:t xml:space="preserve">à la commission technique de mise en place de la HAUQE et ses structures techniques </w:t>
            </w:r>
            <w:r w:rsidRPr="00123CD6">
              <w:rPr>
                <w:rFonts w:asciiTheme="majorHAnsi" w:hAnsiTheme="majorHAnsi"/>
                <w:lang w:val="fr-FR"/>
              </w:rPr>
              <w:t>(ATN, COTAG, ATOMET, ATOPROQ)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3CA2" w:rsidRPr="004F7B01" w:rsidRDefault="00425305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</w:t>
            </w:r>
            <w:r w:rsidR="00ED568D">
              <w:rPr>
                <w:rFonts w:asciiTheme="majorHAnsi" w:hAnsiTheme="majorHAnsi"/>
                <w:sz w:val="18"/>
                <w:szCs w:val="18"/>
                <w:lang w:val="fr-FR"/>
              </w:rPr>
              <w:t>/01</w:t>
            </w:r>
            <w:r w:rsidR="00230BDA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</w:t>
            </w:r>
            <w:r w:rsidR="00FC3CA2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201</w:t>
            </w:r>
            <w:r w:rsidR="00ED568D">
              <w:rPr>
                <w:rFonts w:asciiTheme="majorHAnsi" w:hAnsiTheme="maj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693" w:type="dxa"/>
          </w:tcPr>
          <w:p w:rsidR="00FC3CA2" w:rsidRPr="00AE3141" w:rsidRDefault="00FC3CA2" w:rsidP="00F0754F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Une subvention de fonctionnement est allouée  </w:t>
            </w:r>
            <w:r w:rsidR="00F0754F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dans le budget </w:t>
            </w: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2017 </w:t>
            </w:r>
            <w:r w:rsidR="008514BB" w:rsidRPr="008514BB">
              <w:rPr>
                <w:rFonts w:asciiTheme="majorHAnsi" w:hAnsiTheme="majorHAnsi"/>
                <w:sz w:val="19"/>
                <w:szCs w:val="19"/>
                <w:lang w:val="fr-FR"/>
              </w:rPr>
              <w:t>à la commission technique de mise en place</w:t>
            </w: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FC3CA2" w:rsidRPr="00123CD6" w:rsidRDefault="00FC3CA2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:rsidR="00FC3CA2" w:rsidRPr="00123CD6" w:rsidRDefault="00FC3CA2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FC3CA2" w:rsidRPr="00FC3CA2" w:rsidRDefault="00FC3CA2" w:rsidP="00AA4B8C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 xml:space="preserve">Non encore réalisée </w:t>
            </w:r>
          </w:p>
          <w:p w:rsidR="00FC3CA2" w:rsidRPr="00FC3CA2" w:rsidRDefault="00FC3CA2" w:rsidP="00CC258E">
            <w:pPr>
              <w:rPr>
                <w:rFonts w:asciiTheme="majorHAnsi" w:hAnsiTheme="majorHAnsi"/>
                <w:sz w:val="20"/>
                <w:lang w:val="fr-FR"/>
              </w:rPr>
            </w:pPr>
          </w:p>
        </w:tc>
      </w:tr>
      <w:tr w:rsidR="00FC3CA2" w:rsidTr="00ED568D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FC3CA2" w:rsidRPr="00B52961" w:rsidRDefault="00FC3CA2" w:rsidP="00B155A5">
            <w:pPr>
              <w:rPr>
                <w:rFonts w:asciiTheme="majorHAnsi" w:hAnsiTheme="majorHAnsi"/>
                <w:lang w:val="fr-FR"/>
              </w:rPr>
            </w:pPr>
            <w:r w:rsidRPr="00B52961">
              <w:rPr>
                <w:rFonts w:asciiTheme="majorHAnsi" w:hAnsiTheme="majorHAnsi"/>
                <w:lang w:val="fr-FR"/>
              </w:rPr>
              <w:t>Allouer un budget de fonctionnement à la HAUQE et à ses structures techniques (ATN, COTAG, ATOMET, ATOPROQ)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3CA2" w:rsidRDefault="00B52961" w:rsidP="00B52961">
            <w:pPr>
              <w:jc w:val="center"/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</w:t>
            </w:r>
            <w:r w:rsidR="004F2219">
              <w:rPr>
                <w:rFonts w:asciiTheme="majorHAnsi" w:hAnsiTheme="majorHAnsi"/>
                <w:sz w:val="18"/>
                <w:szCs w:val="18"/>
                <w:lang w:val="fr-FR"/>
              </w:rPr>
              <w:t>/01</w:t>
            </w:r>
            <w:r w:rsidR="004F2219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/201</w:t>
            </w:r>
            <w:r w:rsidR="004F2219">
              <w:rPr>
                <w:rFonts w:asciiTheme="majorHAnsi" w:hAnsiTheme="majorHAnsi"/>
                <w:sz w:val="18"/>
                <w:szCs w:val="18"/>
                <w:lang w:val="fr-FR"/>
              </w:rPr>
              <w:t>7</w:t>
            </w:r>
          </w:p>
          <w:p w:rsidR="00B52961" w:rsidRPr="00B52961" w:rsidRDefault="00B52961" w:rsidP="00B52961">
            <w:pPr>
              <w:jc w:val="center"/>
              <w:rPr>
                <w:rFonts w:asciiTheme="majorHAnsi" w:hAnsiTheme="majorHAnsi"/>
                <w:sz w:val="18"/>
                <w:szCs w:val="18"/>
                <w:lang w:val="fr-FR"/>
              </w:rPr>
            </w:pPr>
          </w:p>
        </w:tc>
        <w:tc>
          <w:tcPr>
            <w:tcW w:w="2693" w:type="dxa"/>
          </w:tcPr>
          <w:p w:rsidR="00FC3CA2" w:rsidRPr="00530D0F" w:rsidRDefault="00FC3CA2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Un budget de fonctionnement est alloué dans le budget 2017 à la HAUQE et ses structures techniques</w:t>
            </w:r>
          </w:p>
        </w:tc>
        <w:tc>
          <w:tcPr>
            <w:tcW w:w="1843" w:type="dxa"/>
            <w:vMerge/>
            <w:shd w:val="clear" w:color="auto" w:fill="FFFF00"/>
          </w:tcPr>
          <w:p w:rsidR="00FC3CA2" w:rsidRPr="00530D0F" w:rsidRDefault="00FC3CA2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FC3CA2" w:rsidRPr="00530D0F" w:rsidRDefault="00FC3CA2">
            <w:pPr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right w:val="thickThinSmallGap" w:sz="18" w:space="0" w:color="auto"/>
            </w:tcBorders>
          </w:tcPr>
          <w:p w:rsidR="00FC3CA2" w:rsidRPr="00530D0F" w:rsidRDefault="00FC3CA2" w:rsidP="00CC258E">
            <w:pPr>
              <w:rPr>
                <w:lang w:val="fr-FR"/>
              </w:rPr>
            </w:pPr>
          </w:p>
        </w:tc>
      </w:tr>
      <w:tr w:rsidR="00FC3CA2" w:rsidTr="00A12DD8">
        <w:tc>
          <w:tcPr>
            <w:tcW w:w="5104" w:type="dxa"/>
            <w:tcBorders>
              <w:left w:val="thinThickSmallGap" w:sz="24" w:space="0" w:color="auto"/>
              <w:bottom w:val="thickThinSmallGap" w:sz="12" w:space="0" w:color="auto"/>
            </w:tcBorders>
            <w:vAlign w:val="center"/>
          </w:tcPr>
          <w:p w:rsidR="00B52961" w:rsidRDefault="00B52961" w:rsidP="00AA4B8C">
            <w:pPr>
              <w:rPr>
                <w:rFonts w:asciiTheme="majorHAnsi" w:hAnsiTheme="majorHAnsi"/>
                <w:lang w:val="fr-FR"/>
              </w:rPr>
            </w:pPr>
          </w:p>
          <w:p w:rsidR="00FC3CA2" w:rsidRDefault="00FC3CA2" w:rsidP="00AA4B8C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Allouer un budget d’investissement à la HAUQE pour la construction du siège de l’infrastructure de la qualité</w:t>
            </w:r>
          </w:p>
          <w:p w:rsidR="00B52961" w:rsidRDefault="00B52961" w:rsidP="00AA4B8C">
            <w:pPr>
              <w:rPr>
                <w:rFonts w:asciiTheme="majorHAnsi" w:hAnsiTheme="majorHAnsi"/>
                <w:lang w:val="fr-FR"/>
              </w:rPr>
            </w:pPr>
          </w:p>
          <w:p w:rsidR="00B52961" w:rsidRDefault="00B52961" w:rsidP="00AA4B8C">
            <w:pPr>
              <w:rPr>
                <w:rFonts w:asciiTheme="majorHAnsi" w:hAnsiTheme="majorHAnsi"/>
                <w:lang w:val="fr-FR"/>
              </w:rPr>
            </w:pPr>
          </w:p>
          <w:p w:rsidR="00B52961" w:rsidRDefault="00B52961" w:rsidP="00AA4B8C">
            <w:pPr>
              <w:rPr>
                <w:rFonts w:asciiTheme="majorHAnsi" w:hAnsiTheme="majorHAnsi"/>
                <w:lang w:val="fr-FR"/>
              </w:rPr>
            </w:pPr>
          </w:p>
          <w:p w:rsidR="00B52961" w:rsidRPr="00123CD6" w:rsidRDefault="00B52961" w:rsidP="00AA4B8C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FC3CA2" w:rsidRPr="001F3EBC" w:rsidRDefault="00FC3CA2" w:rsidP="001F3EBC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</w:p>
        </w:tc>
        <w:tc>
          <w:tcPr>
            <w:tcW w:w="2693" w:type="dxa"/>
          </w:tcPr>
          <w:p w:rsidR="00FC3CA2" w:rsidRPr="00A12DD8" w:rsidRDefault="00FC3CA2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Un budget d’investissement est alloué dans le budget 2017 à la HAUQE</w:t>
            </w:r>
          </w:p>
          <w:p w:rsidR="00A12DD8" w:rsidRPr="00530D0F" w:rsidRDefault="00A12DD8" w:rsidP="00A12DD8">
            <w:pPr>
              <w:pStyle w:val="Paragraphedeliste"/>
              <w:ind w:left="317"/>
              <w:rPr>
                <w:lang w:val="fr-FR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FC3CA2" w:rsidRPr="00530D0F" w:rsidRDefault="00FC3CA2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FC3CA2" w:rsidRPr="00530D0F" w:rsidRDefault="00FC3CA2">
            <w:pPr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bottom w:val="thickThinSmallGap" w:sz="12" w:space="0" w:color="auto"/>
              <w:right w:val="thickThinSmallGap" w:sz="18" w:space="0" w:color="auto"/>
            </w:tcBorders>
          </w:tcPr>
          <w:p w:rsidR="00FC3CA2" w:rsidRPr="00530D0F" w:rsidRDefault="00FC3CA2">
            <w:pPr>
              <w:rPr>
                <w:lang w:val="fr-FR"/>
              </w:rPr>
            </w:pPr>
          </w:p>
        </w:tc>
      </w:tr>
      <w:tr w:rsidR="00A12DD8" w:rsidTr="00A12DD8">
        <w:tc>
          <w:tcPr>
            <w:tcW w:w="5104" w:type="dxa"/>
            <w:tcBorders>
              <w:top w:val="thickThinSmallGap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12DD8" w:rsidRPr="00123CD6" w:rsidRDefault="00A12DD8" w:rsidP="00A12D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fr-FR"/>
              </w:rPr>
            </w:pPr>
            <w:r w:rsidRPr="00123CD6">
              <w:rPr>
                <w:rFonts w:asciiTheme="majorHAnsi" w:hAnsiTheme="majorHAnsi" w:cs="Arial"/>
                <w:lang w:val="fr-FR"/>
              </w:rPr>
              <w:lastRenderedPageBreak/>
              <w:t xml:space="preserve">Veiller </w:t>
            </w:r>
            <w:r>
              <w:rPr>
                <w:rFonts w:asciiTheme="majorHAnsi" w:hAnsiTheme="majorHAnsi" w:cs="Arial"/>
                <w:lang w:val="fr-FR"/>
              </w:rPr>
              <w:t>au respect d</w:t>
            </w:r>
            <w:r w:rsidRPr="00123CD6">
              <w:rPr>
                <w:rFonts w:asciiTheme="majorHAnsi" w:hAnsiTheme="majorHAnsi" w:cs="Arial"/>
                <w:lang w:val="fr-FR"/>
              </w:rPr>
              <w:t>es normes de qualité (la qualité de vie, la réduction des nuisances de toute sorte, la protection de la nature etc.)</w:t>
            </w:r>
            <w:r>
              <w:rPr>
                <w:rFonts w:asciiTheme="majorHAnsi" w:hAnsiTheme="majorHAnsi" w:cs="Arial"/>
                <w:lang w:val="fr-FR"/>
              </w:rPr>
              <w:t xml:space="preserve"> par</w:t>
            </w:r>
            <w:r w:rsidRPr="00123CD6">
              <w:rPr>
                <w:rFonts w:asciiTheme="majorHAnsi" w:hAnsiTheme="majorHAnsi" w:cs="Arial"/>
                <w:lang w:val="fr-FR"/>
              </w:rPr>
              <w:t xml:space="preserve"> l’agence nationale de gestion de l’environnement</w:t>
            </w:r>
            <w:r>
              <w:rPr>
                <w:rFonts w:asciiTheme="majorHAnsi" w:hAnsiTheme="majorHAnsi" w:cs="Arial"/>
                <w:lang w:val="fr-FR"/>
              </w:rPr>
              <w:t xml:space="preserve"> dans ses activités </w:t>
            </w:r>
          </w:p>
        </w:tc>
        <w:tc>
          <w:tcPr>
            <w:tcW w:w="1276" w:type="dxa"/>
            <w:tcBorders>
              <w:top w:val="thickThinSmallGap" w:sz="12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A12DD8" w:rsidRPr="00B605A4" w:rsidRDefault="00A02CA7" w:rsidP="008D2476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</w:t>
            </w:r>
            <w:r w:rsidR="00033C4B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8D2476">
              <w:rPr>
                <w:rFonts w:asciiTheme="majorHAnsi" w:hAnsiTheme="majorHAnsi"/>
                <w:sz w:val="19"/>
                <w:szCs w:val="19"/>
                <w:lang w:val="fr-FR"/>
              </w:rPr>
              <w:t>0</w:t>
            </w:r>
            <w:r w:rsidR="00033C4B">
              <w:rPr>
                <w:rFonts w:asciiTheme="majorHAnsi" w:hAnsiTheme="majorHAnsi"/>
                <w:sz w:val="19"/>
                <w:szCs w:val="19"/>
                <w:lang w:val="fr-FR"/>
              </w:rPr>
              <w:t>1</w:t>
            </w:r>
            <w:r w:rsidR="00A12DD8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A12DD8" w:rsidRPr="00B605A4">
              <w:rPr>
                <w:rFonts w:asciiTheme="majorHAnsi" w:hAnsiTheme="majorHAnsi"/>
                <w:sz w:val="19"/>
                <w:szCs w:val="19"/>
                <w:lang w:val="fr-FR"/>
              </w:rPr>
              <w:t>201</w:t>
            </w:r>
            <w:r w:rsidR="008D2476">
              <w:rPr>
                <w:rFonts w:asciiTheme="majorHAnsi" w:hAnsiTheme="majorHAnsi"/>
                <w:sz w:val="19"/>
                <w:szCs w:val="19"/>
                <w:lang w:val="fr-FR"/>
              </w:rPr>
              <w:t>7</w:t>
            </w:r>
          </w:p>
        </w:tc>
        <w:tc>
          <w:tcPr>
            <w:tcW w:w="2693" w:type="dxa"/>
            <w:tcBorders>
              <w:top w:val="thickThinSmallGap" w:sz="12" w:space="0" w:color="auto"/>
              <w:bottom w:val="thickThinSmallGap" w:sz="24" w:space="0" w:color="auto"/>
            </w:tcBorders>
            <w:vAlign w:val="center"/>
          </w:tcPr>
          <w:p w:rsidR="00A12DD8" w:rsidRDefault="00A12DD8" w:rsidP="00A12DD8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</w:t>
            </w:r>
            <w:r w:rsidRPr="00630F60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es activités de l’agence nationale de gestion de l’environnement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sont conformes aux</w:t>
            </w:r>
            <w:r w:rsidRPr="00630F60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normes de qualité</w:t>
            </w:r>
          </w:p>
          <w:p w:rsidR="00A12DD8" w:rsidRDefault="00A12DD8" w:rsidP="00A12DD8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  <w:p w:rsidR="00A12DD8" w:rsidRDefault="00A12DD8" w:rsidP="00A12DD8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  <w:p w:rsidR="00A12DD8" w:rsidRPr="00A12DD8" w:rsidRDefault="00A12DD8" w:rsidP="00A12DD8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  <w:tcBorders>
              <w:top w:val="thickThinSmallGap" w:sz="12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A12DD8" w:rsidRPr="00F56297" w:rsidRDefault="00A12DD8" w:rsidP="00976906">
            <w:pPr>
              <w:pStyle w:val="NormalWeb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val="fr-FR" w:eastAsia="en-US"/>
              </w:rPr>
            </w:pPr>
            <w:r w:rsidRPr="00F56297">
              <w:rPr>
                <w:rFonts w:asciiTheme="majorHAnsi" w:eastAsiaTheme="minorHAnsi" w:hAnsiTheme="majorHAnsi" w:cstheme="minorBidi"/>
                <w:sz w:val="22"/>
                <w:szCs w:val="22"/>
                <w:lang w:val="fr-FR" w:eastAsia="en-US"/>
              </w:rPr>
              <w:t>MERF</w:t>
            </w:r>
          </w:p>
        </w:tc>
        <w:tc>
          <w:tcPr>
            <w:tcW w:w="1984" w:type="dxa"/>
            <w:tcBorders>
              <w:top w:val="thickThinSmallGap" w:sz="12" w:space="0" w:color="auto"/>
              <w:bottom w:val="thickThinSmallGap" w:sz="24" w:space="0" w:color="auto"/>
            </w:tcBorders>
            <w:shd w:val="clear" w:color="auto" w:fill="FFC000"/>
            <w:vAlign w:val="center"/>
          </w:tcPr>
          <w:p w:rsidR="00A12DD8" w:rsidRPr="00123CD6" w:rsidRDefault="00A12DD8" w:rsidP="00976906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SG/CAB/ANGE/ Institutions rattachées</w:t>
            </w:r>
          </w:p>
        </w:tc>
        <w:tc>
          <w:tcPr>
            <w:tcW w:w="3119" w:type="dxa"/>
            <w:tcBorders>
              <w:top w:val="thickThinSmallGap" w:sz="12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:rsidR="00A12DD8" w:rsidRPr="00C057E9" w:rsidRDefault="00A12DD8" w:rsidP="00976906">
            <w:pPr>
              <w:jc w:val="center"/>
              <w:rPr>
                <w:sz w:val="24"/>
                <w:szCs w:val="24"/>
                <w:lang w:val="fr-FR"/>
              </w:rPr>
            </w:pPr>
            <w:r w:rsidRPr="00C057E9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</w:tbl>
    <w:p w:rsidR="006522D3" w:rsidRPr="00FA6140" w:rsidRDefault="006522D3" w:rsidP="00FA6140">
      <w:pPr>
        <w:spacing w:after="0" w:line="240" w:lineRule="auto"/>
        <w:rPr>
          <w:sz w:val="10"/>
        </w:rPr>
      </w:pPr>
    </w:p>
    <w:tbl>
      <w:tblPr>
        <w:tblStyle w:val="Grilledutableau"/>
        <w:tblW w:w="16019" w:type="dxa"/>
        <w:tblInd w:w="-885" w:type="dxa"/>
        <w:tblLayout w:type="fixed"/>
        <w:tblLook w:val="04A0"/>
      </w:tblPr>
      <w:tblGrid>
        <w:gridCol w:w="5104"/>
        <w:gridCol w:w="1276"/>
        <w:gridCol w:w="2693"/>
        <w:gridCol w:w="1843"/>
        <w:gridCol w:w="1984"/>
        <w:gridCol w:w="3119"/>
      </w:tblGrid>
      <w:tr w:rsidR="00B155A5" w:rsidTr="00D2186C">
        <w:tc>
          <w:tcPr>
            <w:tcW w:w="16019" w:type="dxa"/>
            <w:gridSpan w:val="6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0B0F0"/>
          </w:tcPr>
          <w:p w:rsidR="00B155A5" w:rsidRPr="0005293D" w:rsidRDefault="00AE3141" w:rsidP="0005293D">
            <w:pPr>
              <w:pStyle w:val="Paragraphedeliste"/>
              <w:numPr>
                <w:ilvl w:val="0"/>
                <w:numId w:val="4"/>
              </w:numPr>
              <w:jc w:val="center"/>
              <w:rPr>
                <w:lang w:val="fr-FR"/>
              </w:rPr>
            </w:pPr>
            <w:r w:rsidRPr="002B35FC">
              <w:rPr>
                <w:rFonts w:asciiTheme="majorHAnsi" w:hAnsiTheme="majorHAnsi"/>
                <w:b/>
                <w:sz w:val="28"/>
                <w:lang w:val="fr-FR"/>
              </w:rPr>
              <w:t>A MOYEN OU LONG TERME</w:t>
            </w:r>
          </w:p>
        </w:tc>
      </w:tr>
      <w:tr w:rsidR="00AE3141" w:rsidTr="006522D3">
        <w:tc>
          <w:tcPr>
            <w:tcW w:w="5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E3141" w:rsidRPr="00123CD6" w:rsidRDefault="00AE3141" w:rsidP="004A3011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Mettre en place un référentiel systématique professionnel aux normes de qualité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3141" w:rsidRPr="004A3011" w:rsidRDefault="00AE3141" w:rsidP="00802F18">
            <w:pPr>
              <w:rPr>
                <w:lang w:val="fr-FR"/>
              </w:rPr>
            </w:pPr>
            <w:r w:rsidRPr="00AE3141">
              <w:rPr>
                <w:rFonts w:asciiTheme="majorHAnsi" w:hAnsiTheme="majorHAnsi"/>
                <w:sz w:val="19"/>
                <w:szCs w:val="19"/>
                <w:lang w:val="fr-FR"/>
              </w:rPr>
              <w:t>31</w:t>
            </w:r>
            <w:r w:rsidR="00230BDA">
              <w:rPr>
                <w:rFonts w:asciiTheme="majorHAnsi" w:hAnsiTheme="majorHAnsi"/>
                <w:sz w:val="19"/>
                <w:szCs w:val="19"/>
                <w:lang w:val="fr-FR"/>
              </w:rPr>
              <w:t>/0</w:t>
            </w:r>
            <w:r w:rsidR="00802F18">
              <w:rPr>
                <w:rFonts w:asciiTheme="majorHAnsi" w:hAnsiTheme="majorHAnsi"/>
                <w:sz w:val="19"/>
                <w:szCs w:val="19"/>
                <w:lang w:val="fr-FR"/>
              </w:rPr>
              <w:t>4</w:t>
            </w:r>
            <w:r w:rsidR="00230BDA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Pr="00AE3141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E3141" w:rsidRPr="004A3011" w:rsidRDefault="00AE3141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Un référentiel systématique professionnel aux normes de qualité est mise en plac</w:t>
            </w:r>
            <w:r w:rsidR="002B35FC">
              <w:rPr>
                <w:rFonts w:asciiTheme="majorHAnsi" w:hAnsiTheme="majorHAnsi"/>
                <w:sz w:val="19"/>
                <w:szCs w:val="19"/>
                <w:lang w:val="fr-FR"/>
              </w:rPr>
              <w:t>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E3141" w:rsidRPr="00123CD6" w:rsidRDefault="00AE3141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MDBAJEJ</w:t>
            </w:r>
          </w:p>
          <w:p w:rsidR="00AE3141" w:rsidRPr="00123CD6" w:rsidRDefault="00AE3141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AE3141" w:rsidRPr="00123CD6" w:rsidRDefault="00AE3141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CAB/SG/DA/CRM/ Institutions rattachées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AE3141" w:rsidRDefault="00AE3141" w:rsidP="00AE3141">
            <w:pPr>
              <w:jc w:val="center"/>
            </w:pPr>
            <w:r w:rsidRPr="0039106B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AE3141" w:rsidTr="006522D3">
        <w:tc>
          <w:tcPr>
            <w:tcW w:w="5104" w:type="dxa"/>
            <w:tcBorders>
              <w:top w:val="single" w:sz="4" w:space="0" w:color="auto"/>
              <w:left w:val="thinThickSmallGap" w:sz="24" w:space="0" w:color="auto"/>
              <w:bottom w:val="thinThickLargeGap" w:sz="4" w:space="0" w:color="auto"/>
            </w:tcBorders>
            <w:vAlign w:val="center"/>
          </w:tcPr>
          <w:p w:rsidR="00AE3141" w:rsidRPr="00123CD6" w:rsidRDefault="00AE3141" w:rsidP="004A3011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Mettre en place un référentiel  systématique de normes de qualité dans les professions artisanales</w:t>
            </w:r>
          </w:p>
        </w:tc>
        <w:tc>
          <w:tcPr>
            <w:tcW w:w="1276" w:type="dxa"/>
            <w:vMerge/>
            <w:tcBorders>
              <w:bottom w:val="thinThickLargeGap" w:sz="4" w:space="0" w:color="auto"/>
            </w:tcBorders>
            <w:shd w:val="clear" w:color="auto" w:fill="BFBFBF" w:themeFill="background1" w:themeFillShade="BF"/>
            <w:vAlign w:val="center"/>
          </w:tcPr>
          <w:p w:rsidR="00AE3141" w:rsidRPr="004A3011" w:rsidRDefault="00AE3141" w:rsidP="006522D3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inThickLargeGap" w:sz="4" w:space="0" w:color="auto"/>
            </w:tcBorders>
          </w:tcPr>
          <w:p w:rsidR="00AE3141" w:rsidRPr="004A3011" w:rsidRDefault="00AE3141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Un référentiel systématique aux normes de qualité dans les professions artisanale sont mise en place</w:t>
            </w:r>
          </w:p>
        </w:tc>
        <w:tc>
          <w:tcPr>
            <w:tcW w:w="1843" w:type="dxa"/>
            <w:vMerge/>
            <w:tcBorders>
              <w:bottom w:val="thinThickLargeGap" w:sz="4" w:space="0" w:color="auto"/>
            </w:tcBorders>
            <w:shd w:val="clear" w:color="auto" w:fill="FFFF00"/>
          </w:tcPr>
          <w:p w:rsidR="00AE3141" w:rsidRPr="004A3011" w:rsidRDefault="00AE3141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bottom w:val="thinThickLargeGap" w:sz="4" w:space="0" w:color="auto"/>
            </w:tcBorders>
            <w:shd w:val="clear" w:color="auto" w:fill="FFC000"/>
          </w:tcPr>
          <w:p w:rsidR="00AE3141" w:rsidRPr="004A3011" w:rsidRDefault="00AE3141">
            <w:pPr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bottom w:val="thinThickLargeGap" w:sz="4" w:space="0" w:color="auto"/>
              <w:right w:val="thickThinSmallGap" w:sz="18" w:space="0" w:color="auto"/>
            </w:tcBorders>
            <w:vAlign w:val="center"/>
          </w:tcPr>
          <w:p w:rsidR="00AE3141" w:rsidRPr="004A3011" w:rsidRDefault="00AE3141" w:rsidP="00AE3141">
            <w:pPr>
              <w:jc w:val="center"/>
              <w:rPr>
                <w:lang w:val="fr-FR"/>
              </w:rPr>
            </w:pPr>
          </w:p>
        </w:tc>
      </w:tr>
      <w:tr w:rsidR="006522D3" w:rsidTr="006522D3">
        <w:tc>
          <w:tcPr>
            <w:tcW w:w="5104" w:type="dxa"/>
            <w:tcBorders>
              <w:top w:val="thinThickLargeGap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2D3" w:rsidRPr="001F3EBC" w:rsidRDefault="006522D3" w:rsidP="008D1551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Mettre en place le fonds national </w:t>
            </w:r>
            <w:r>
              <w:rPr>
                <w:rFonts w:asciiTheme="majorHAnsi" w:hAnsiTheme="majorHAnsi"/>
                <w:lang w:val="fr-FR"/>
              </w:rPr>
              <w:t xml:space="preserve">de promotion </w:t>
            </w:r>
            <w:r w:rsidRPr="00123CD6">
              <w:rPr>
                <w:rFonts w:asciiTheme="majorHAnsi" w:hAnsiTheme="majorHAnsi"/>
                <w:lang w:val="fr-FR"/>
              </w:rPr>
              <w:t>de la qualité</w:t>
            </w:r>
          </w:p>
        </w:tc>
        <w:tc>
          <w:tcPr>
            <w:tcW w:w="1276" w:type="dxa"/>
            <w:tcBorders>
              <w:top w:val="thinThickLargeGap" w:sz="4" w:space="0" w:color="auto"/>
            </w:tcBorders>
            <w:shd w:val="clear" w:color="auto" w:fill="BFBFBF" w:themeFill="background1" w:themeFillShade="BF"/>
            <w:vAlign w:val="center"/>
          </w:tcPr>
          <w:p w:rsidR="006522D3" w:rsidRPr="004F7B01" w:rsidRDefault="00A02CA7" w:rsidP="006522D3">
            <w:pPr>
              <w:rPr>
                <w:rFonts w:asciiTheme="majorHAnsi" w:hAnsi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/>
              </w:rPr>
              <w:t>30</w:t>
            </w:r>
            <w:r w:rsidR="006522D3" w:rsidRPr="004F7B01">
              <w:rPr>
                <w:rFonts w:asciiTheme="majorHAnsi" w:hAnsiTheme="majorHAnsi"/>
                <w:sz w:val="18"/>
                <w:szCs w:val="18"/>
                <w:lang w:val="fr-FR"/>
              </w:rPr>
              <w:t>/01/2017</w:t>
            </w:r>
          </w:p>
        </w:tc>
        <w:tc>
          <w:tcPr>
            <w:tcW w:w="2693" w:type="dxa"/>
            <w:tcBorders>
              <w:top w:val="thinThickLargeGap" w:sz="4" w:space="0" w:color="auto"/>
              <w:bottom w:val="single" w:sz="4" w:space="0" w:color="auto"/>
            </w:tcBorders>
            <w:vAlign w:val="center"/>
          </w:tcPr>
          <w:p w:rsidR="006522D3" w:rsidRPr="00FF1367" w:rsidRDefault="006522D3" w:rsidP="008D1551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D4D1E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Le fonds national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de promotion </w:t>
            </w:r>
            <w:r w:rsidRPr="00FD4D1E">
              <w:rPr>
                <w:rFonts w:asciiTheme="majorHAnsi" w:hAnsiTheme="majorHAnsi"/>
                <w:sz w:val="19"/>
                <w:szCs w:val="19"/>
                <w:lang w:val="fr-FR"/>
              </w:rPr>
              <w:t>de la qualité est opérationnel</w:t>
            </w:r>
          </w:p>
        </w:tc>
        <w:tc>
          <w:tcPr>
            <w:tcW w:w="1843" w:type="dxa"/>
            <w:tcBorders>
              <w:top w:val="thinThickLargeGap" w:sz="4" w:space="0" w:color="auto"/>
            </w:tcBorders>
            <w:shd w:val="clear" w:color="auto" w:fill="FFFF00"/>
            <w:vAlign w:val="center"/>
          </w:tcPr>
          <w:p w:rsidR="006522D3" w:rsidRPr="001F3EBC" w:rsidRDefault="006522D3" w:rsidP="00A02CA7">
            <w:pPr>
              <w:jc w:val="center"/>
              <w:rPr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MCIPSPT/MEF/</w:t>
            </w:r>
            <w:r w:rsidR="00A02CA7" w:rsidRPr="00123CD6">
              <w:rPr>
                <w:rFonts w:asciiTheme="majorHAnsi" w:hAnsiTheme="majorHAnsi"/>
                <w:lang w:val="fr-FR"/>
              </w:rPr>
              <w:t xml:space="preserve"> MPD</w:t>
            </w:r>
          </w:p>
        </w:tc>
        <w:tc>
          <w:tcPr>
            <w:tcW w:w="1984" w:type="dxa"/>
            <w:tcBorders>
              <w:top w:val="thinThickLargeGap" w:sz="4" w:space="0" w:color="auto"/>
            </w:tcBorders>
            <w:shd w:val="clear" w:color="auto" w:fill="FFC000"/>
          </w:tcPr>
          <w:p w:rsidR="006522D3" w:rsidRPr="00FC3CA2" w:rsidRDefault="006522D3" w:rsidP="008D1551">
            <w:pPr>
              <w:jc w:val="center"/>
              <w:rPr>
                <w:rFonts w:asciiTheme="majorHAnsi" w:hAnsiTheme="majorHAnsi"/>
                <w:sz w:val="16"/>
                <w:lang w:val="fr-FR"/>
              </w:rPr>
            </w:pPr>
            <w:r w:rsidRPr="00FC3CA2">
              <w:rPr>
                <w:rFonts w:asciiTheme="majorHAnsi" w:hAnsiTheme="majorHAnsi"/>
                <w:sz w:val="16"/>
                <w:lang w:val="fr-FR"/>
              </w:rPr>
              <w:t>CAB/SG/DBC/DAF/</w:t>
            </w:r>
            <w:r w:rsidRPr="00D31A13">
              <w:rPr>
                <w:rFonts w:asciiTheme="majorHAnsi" w:hAnsiTheme="majorHAnsi"/>
                <w:sz w:val="20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0"/>
                <w:lang w:val="fr-FR"/>
              </w:rPr>
              <w:t>CNSPSQAO</w:t>
            </w:r>
            <w:r w:rsidRPr="00FC3CA2">
              <w:rPr>
                <w:rFonts w:asciiTheme="majorHAnsi" w:hAnsiTheme="majorHAnsi"/>
                <w:sz w:val="16"/>
                <w:lang w:val="fr-FR"/>
              </w:rPr>
              <w:t>/Institutions rattachées</w:t>
            </w:r>
          </w:p>
        </w:tc>
        <w:tc>
          <w:tcPr>
            <w:tcW w:w="3119" w:type="dxa"/>
            <w:tcBorders>
              <w:top w:val="thinThickLargeGap" w:sz="4" w:space="0" w:color="auto"/>
              <w:right w:val="thickThinSmallGap" w:sz="18" w:space="0" w:color="auto"/>
            </w:tcBorders>
            <w:vAlign w:val="center"/>
          </w:tcPr>
          <w:p w:rsidR="006522D3" w:rsidRPr="00FC3CA2" w:rsidRDefault="006522D3" w:rsidP="008D1551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C3CA2">
              <w:rPr>
                <w:rFonts w:asciiTheme="majorHAnsi" w:hAnsiTheme="majorHAnsi"/>
                <w:sz w:val="20"/>
                <w:lang w:val="fr-FR"/>
              </w:rPr>
              <w:t xml:space="preserve">Non encore réalisée </w:t>
            </w:r>
          </w:p>
          <w:p w:rsidR="006522D3" w:rsidRPr="001F3EBC" w:rsidRDefault="006522D3" w:rsidP="008D1551">
            <w:pPr>
              <w:jc w:val="center"/>
              <w:rPr>
                <w:lang w:val="fr-FR"/>
              </w:rPr>
            </w:pPr>
          </w:p>
        </w:tc>
      </w:tr>
      <w:tr w:rsidR="006522D3" w:rsidTr="00A12DD8">
        <w:tc>
          <w:tcPr>
            <w:tcW w:w="5104" w:type="dxa"/>
            <w:tcBorders>
              <w:top w:val="thinThickLargeGap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2D3" w:rsidRPr="00123CD6" w:rsidRDefault="006522D3" w:rsidP="00D65ED3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Mettre en place un système sécurisé d’évaluation des connaissances dans toutes </w:t>
            </w:r>
            <w:r w:rsidR="00D65ED3">
              <w:rPr>
                <w:rFonts w:asciiTheme="majorHAnsi" w:hAnsiTheme="majorHAnsi"/>
                <w:lang w:val="fr-FR"/>
              </w:rPr>
              <w:t xml:space="preserve">les </w:t>
            </w:r>
            <w:r w:rsidRPr="00123CD6">
              <w:rPr>
                <w:rFonts w:asciiTheme="majorHAnsi" w:hAnsiTheme="majorHAnsi"/>
                <w:lang w:val="fr-FR"/>
              </w:rPr>
              <w:t>universités et centres de formations du Togo</w:t>
            </w:r>
          </w:p>
        </w:tc>
        <w:tc>
          <w:tcPr>
            <w:tcW w:w="1276" w:type="dxa"/>
            <w:vMerge w:val="restart"/>
            <w:tcBorders>
              <w:top w:val="thinThickLargeGap" w:sz="4" w:space="0" w:color="auto"/>
            </w:tcBorders>
            <w:shd w:val="clear" w:color="auto" w:fill="BFBFBF" w:themeFill="background1" w:themeFillShade="BF"/>
            <w:vAlign w:val="center"/>
          </w:tcPr>
          <w:p w:rsidR="006522D3" w:rsidRPr="00AE3141" w:rsidRDefault="00D65ED3" w:rsidP="00D65E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</w:t>
            </w:r>
            <w:r w:rsidR="006522D3">
              <w:rPr>
                <w:rFonts w:asciiTheme="majorHAnsi" w:hAnsiTheme="majorHAnsi"/>
                <w:sz w:val="19"/>
                <w:szCs w:val="19"/>
                <w:lang w:val="fr-FR"/>
              </w:rPr>
              <w:t>/0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9</w:t>
            </w:r>
            <w:r w:rsidR="006522D3">
              <w:rPr>
                <w:rFonts w:asciiTheme="majorHAnsi" w:hAnsiTheme="majorHAnsi"/>
                <w:sz w:val="19"/>
                <w:szCs w:val="19"/>
                <w:lang w:val="fr-FR"/>
              </w:rPr>
              <w:t>/2</w:t>
            </w:r>
            <w:r w:rsidR="006522D3" w:rsidRPr="00AE3141">
              <w:rPr>
                <w:rFonts w:asciiTheme="majorHAnsi" w:hAnsiTheme="majorHAnsi"/>
                <w:sz w:val="19"/>
                <w:szCs w:val="19"/>
                <w:lang w:val="fr-FR"/>
              </w:rPr>
              <w:t>017</w:t>
            </w:r>
          </w:p>
        </w:tc>
        <w:tc>
          <w:tcPr>
            <w:tcW w:w="2693" w:type="dxa"/>
            <w:tcBorders>
              <w:top w:val="thinThickLargeGap" w:sz="4" w:space="0" w:color="auto"/>
              <w:bottom w:val="single" w:sz="4" w:space="0" w:color="auto"/>
            </w:tcBorders>
          </w:tcPr>
          <w:p w:rsidR="006522D3" w:rsidRPr="004A3011" w:rsidRDefault="006522D3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Un système d’évaluation sécurisé est mise en place</w:t>
            </w:r>
            <w:r w:rsidRPr="00123CD6">
              <w:rPr>
                <w:rFonts w:asciiTheme="majorHAnsi" w:hAnsiTheme="majorHAnsi"/>
                <w:lang w:val="fr-FR"/>
              </w:rPr>
              <w:t xml:space="preserve"> </w:t>
            </w:r>
            <w:r w:rsidRPr="00FB4422">
              <w:rPr>
                <w:rFonts w:asciiTheme="majorHAnsi" w:hAnsiTheme="majorHAnsi"/>
                <w:sz w:val="19"/>
                <w:szCs w:val="19"/>
                <w:lang w:val="fr-FR"/>
              </w:rPr>
              <w:t>dans les toutes universités et centres de formations du Togo</w:t>
            </w:r>
          </w:p>
        </w:tc>
        <w:tc>
          <w:tcPr>
            <w:tcW w:w="1843" w:type="dxa"/>
            <w:vMerge w:val="restart"/>
            <w:tcBorders>
              <w:top w:val="thinThickLargeGap" w:sz="4" w:space="0" w:color="auto"/>
            </w:tcBorders>
            <w:shd w:val="clear" w:color="auto" w:fill="FFFF00"/>
            <w:vAlign w:val="center"/>
          </w:tcPr>
          <w:p w:rsidR="006522D3" w:rsidRPr="00123CD6" w:rsidRDefault="006522D3" w:rsidP="00A02CA7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MES</w:t>
            </w:r>
            <w:r w:rsidR="00A02CA7">
              <w:rPr>
                <w:rFonts w:asciiTheme="majorHAnsi" w:hAnsiTheme="majorHAnsi"/>
                <w:lang w:val="fr-FR"/>
              </w:rPr>
              <w:t>R</w:t>
            </w:r>
            <w:r w:rsidRPr="00123CD6">
              <w:rPr>
                <w:rFonts w:asciiTheme="majorHAnsi" w:hAnsiTheme="majorHAnsi"/>
                <w:lang w:val="fr-FR"/>
              </w:rPr>
              <w:t>/ME</w:t>
            </w:r>
            <w:r w:rsidR="00A02CA7">
              <w:rPr>
                <w:rFonts w:asciiTheme="majorHAnsi" w:hAnsiTheme="majorHAnsi"/>
                <w:lang w:val="fr-FR"/>
              </w:rPr>
              <w:t>PS</w:t>
            </w:r>
            <w:r w:rsidRPr="00123CD6">
              <w:rPr>
                <w:rFonts w:asciiTheme="majorHAnsi" w:hAnsiTheme="majorHAnsi"/>
                <w:lang w:val="fr-FR"/>
              </w:rPr>
              <w:t>FP/</w:t>
            </w:r>
            <w:r w:rsidR="00A02CA7">
              <w:rPr>
                <w:rFonts w:asciiTheme="majorHAnsi" w:hAnsiTheme="majorHAnsi"/>
                <w:lang w:val="fr-FR"/>
              </w:rPr>
              <w:t>MEPSETFP</w:t>
            </w:r>
          </w:p>
        </w:tc>
        <w:tc>
          <w:tcPr>
            <w:tcW w:w="1984" w:type="dxa"/>
            <w:vMerge w:val="restart"/>
            <w:tcBorders>
              <w:top w:val="thinThickLargeGap" w:sz="4" w:space="0" w:color="auto"/>
            </w:tcBorders>
            <w:shd w:val="clear" w:color="auto" w:fill="FFC000"/>
            <w:vAlign w:val="center"/>
          </w:tcPr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CAB/SG/DA/CRM/ Institutions rattachées/Universités publiques et privées</w:t>
            </w:r>
          </w:p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thinThickLargeGap" w:sz="4" w:space="0" w:color="auto"/>
              <w:right w:val="thickThinSmallGap" w:sz="18" w:space="0" w:color="auto"/>
            </w:tcBorders>
            <w:vAlign w:val="center"/>
          </w:tcPr>
          <w:p w:rsidR="006522D3" w:rsidRDefault="006522D3" w:rsidP="00AE3141">
            <w:pPr>
              <w:jc w:val="center"/>
            </w:pPr>
            <w:r w:rsidRPr="0039106B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6522D3" w:rsidTr="006522D3">
        <w:tc>
          <w:tcPr>
            <w:tcW w:w="5104" w:type="dxa"/>
            <w:tcBorders>
              <w:top w:val="single" w:sz="4" w:space="0" w:color="auto"/>
              <w:left w:val="thinThickSmallGap" w:sz="24" w:space="0" w:color="auto"/>
              <w:bottom w:val="thinThickLargeGap" w:sz="4" w:space="0" w:color="auto"/>
            </w:tcBorders>
            <w:vAlign w:val="center"/>
          </w:tcPr>
          <w:p w:rsidR="006522D3" w:rsidRPr="00123CD6" w:rsidRDefault="006522D3" w:rsidP="00AA4B8C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Introduire dans les programmes d’enseignement et de formation  à tous les niveaux les modules sur le concept de la qualité, la culture qualité et les outils de sa mise en œuvre</w:t>
            </w:r>
          </w:p>
        </w:tc>
        <w:tc>
          <w:tcPr>
            <w:tcW w:w="1276" w:type="dxa"/>
            <w:vMerge/>
            <w:tcBorders>
              <w:bottom w:val="thinThickLargeGap" w:sz="4" w:space="0" w:color="auto"/>
            </w:tcBorders>
            <w:shd w:val="clear" w:color="auto" w:fill="BFBFBF" w:themeFill="background1" w:themeFillShade="BF"/>
            <w:vAlign w:val="center"/>
          </w:tcPr>
          <w:p w:rsidR="006522D3" w:rsidRPr="00AE3141" w:rsidRDefault="006522D3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inThickLargeGap" w:sz="4" w:space="0" w:color="auto"/>
            </w:tcBorders>
          </w:tcPr>
          <w:p w:rsidR="006522D3" w:rsidRPr="004A3011" w:rsidRDefault="006522D3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Les modules qualité sont introduits dans les cursus scolaires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et universitaires</w:t>
            </w:r>
            <w:r w:rsidRPr="00FF1367">
              <w:rPr>
                <w:rFonts w:asciiTheme="majorHAnsi" w:hAnsiTheme="majorHAnsi"/>
                <w:sz w:val="19"/>
                <w:szCs w:val="19"/>
                <w:lang w:val="fr-FR"/>
              </w:rPr>
              <w:t>,</w:t>
            </w:r>
          </w:p>
        </w:tc>
        <w:tc>
          <w:tcPr>
            <w:tcW w:w="1843" w:type="dxa"/>
            <w:vMerge/>
            <w:tcBorders>
              <w:bottom w:val="thinThickLargeGap" w:sz="4" w:space="0" w:color="auto"/>
            </w:tcBorders>
            <w:shd w:val="clear" w:color="auto" w:fill="FFFF00"/>
          </w:tcPr>
          <w:p w:rsidR="006522D3" w:rsidRPr="004A3011" w:rsidRDefault="006522D3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bottom w:val="thinThickLargeGap" w:sz="4" w:space="0" w:color="auto"/>
            </w:tcBorders>
            <w:shd w:val="clear" w:color="auto" w:fill="FFC000"/>
            <w:vAlign w:val="center"/>
          </w:tcPr>
          <w:p w:rsidR="006522D3" w:rsidRPr="004A3011" w:rsidRDefault="006522D3">
            <w:pPr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bottom w:val="thinThickLargeGap" w:sz="4" w:space="0" w:color="auto"/>
              <w:right w:val="thickThinSmallGap" w:sz="18" w:space="0" w:color="auto"/>
            </w:tcBorders>
            <w:vAlign w:val="center"/>
          </w:tcPr>
          <w:p w:rsidR="006522D3" w:rsidRPr="004A3011" w:rsidRDefault="006522D3" w:rsidP="00AE3141">
            <w:pPr>
              <w:jc w:val="center"/>
              <w:rPr>
                <w:lang w:val="fr-FR"/>
              </w:rPr>
            </w:pPr>
          </w:p>
        </w:tc>
      </w:tr>
      <w:tr w:rsidR="006522D3" w:rsidTr="006522D3">
        <w:tc>
          <w:tcPr>
            <w:tcW w:w="5104" w:type="dxa"/>
            <w:tcBorders>
              <w:top w:val="thinThickLargeGap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2D3" w:rsidRPr="00123CD6" w:rsidRDefault="006522D3" w:rsidP="0090004F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Soumettre systématiquement les marchés publics </w:t>
            </w:r>
            <w:r w:rsidRPr="00123CD6">
              <w:rPr>
                <w:rFonts w:asciiTheme="majorHAnsi" w:hAnsiTheme="majorHAnsi"/>
                <w:lang w:val="fr-FR"/>
              </w:rPr>
              <w:lastRenderedPageBreak/>
              <w:t>relatifs aux travaux et infrastructures (routes, ponts etc.) aux normes techniques en la matière</w:t>
            </w:r>
          </w:p>
        </w:tc>
        <w:tc>
          <w:tcPr>
            <w:tcW w:w="1276" w:type="dxa"/>
            <w:tcBorders>
              <w:top w:val="thinThickLarge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D3" w:rsidRPr="00AE3141" w:rsidRDefault="006522D3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lastRenderedPageBreak/>
              <w:t>31/03/2017</w:t>
            </w:r>
          </w:p>
        </w:tc>
        <w:tc>
          <w:tcPr>
            <w:tcW w:w="2693" w:type="dxa"/>
            <w:tcBorders>
              <w:top w:val="thinThickLargeGap" w:sz="4" w:space="0" w:color="auto"/>
              <w:bottom w:val="single" w:sz="4" w:space="0" w:color="auto"/>
            </w:tcBorders>
          </w:tcPr>
          <w:p w:rsidR="006522D3" w:rsidRPr="004A3011" w:rsidRDefault="006522D3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lang w:val="fr-FR"/>
              </w:rPr>
            </w:pPr>
            <w:r w:rsidRPr="00EB1998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Les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marchés publics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lastRenderedPageBreak/>
              <w:t>relatifs aux travaux et infrastructures sont systématiquement soumis aux normes techniques</w:t>
            </w:r>
          </w:p>
        </w:tc>
        <w:tc>
          <w:tcPr>
            <w:tcW w:w="1843" w:type="dxa"/>
            <w:vMerge w:val="restart"/>
            <w:tcBorders>
              <w:top w:val="thinThickLargeGap" w:sz="4" w:space="0" w:color="auto"/>
            </w:tcBorders>
            <w:shd w:val="clear" w:color="auto" w:fill="FFFF00"/>
            <w:vAlign w:val="center"/>
          </w:tcPr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lastRenderedPageBreak/>
              <w:t>MIT</w:t>
            </w:r>
          </w:p>
          <w:p w:rsidR="006522D3" w:rsidRPr="00123CD6" w:rsidRDefault="006522D3" w:rsidP="00AA4B8C">
            <w:pPr>
              <w:ind w:left="36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thinThickLargeGap" w:sz="4" w:space="0" w:color="auto"/>
            </w:tcBorders>
            <w:shd w:val="clear" w:color="auto" w:fill="FFC000"/>
            <w:vAlign w:val="center"/>
          </w:tcPr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6522D3" w:rsidRPr="00123CD6" w:rsidRDefault="006522D3" w:rsidP="00AA4B8C">
            <w:pPr>
              <w:jc w:val="center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SG/CAB/DGTP/ Institutions rattachées</w:t>
            </w:r>
          </w:p>
        </w:tc>
        <w:tc>
          <w:tcPr>
            <w:tcW w:w="3119" w:type="dxa"/>
            <w:vMerge w:val="restart"/>
            <w:tcBorders>
              <w:top w:val="thinThickLargeGap" w:sz="4" w:space="0" w:color="auto"/>
              <w:right w:val="thickThinSmallGap" w:sz="18" w:space="0" w:color="auto"/>
            </w:tcBorders>
            <w:vAlign w:val="center"/>
          </w:tcPr>
          <w:p w:rsidR="006522D3" w:rsidRDefault="006522D3" w:rsidP="00AE3141">
            <w:pPr>
              <w:jc w:val="center"/>
            </w:pPr>
            <w:r w:rsidRPr="0039106B">
              <w:rPr>
                <w:rFonts w:asciiTheme="majorHAnsi" w:hAnsiTheme="majorHAnsi"/>
                <w:sz w:val="20"/>
                <w:lang w:val="fr-FR"/>
              </w:rPr>
              <w:lastRenderedPageBreak/>
              <w:t>Non encore réalisée</w:t>
            </w:r>
          </w:p>
        </w:tc>
      </w:tr>
      <w:tr w:rsidR="006522D3" w:rsidTr="006522D3">
        <w:tc>
          <w:tcPr>
            <w:tcW w:w="5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2D3" w:rsidRDefault="006522D3" w:rsidP="0090004F">
            <w:pPr>
              <w:rPr>
                <w:rFonts w:asciiTheme="majorHAnsi" w:hAnsiTheme="majorHAnsi"/>
                <w:lang w:val="fr-FR"/>
              </w:rPr>
            </w:pPr>
          </w:p>
          <w:p w:rsidR="006522D3" w:rsidRPr="00123CD6" w:rsidRDefault="006522D3" w:rsidP="0090004F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Mettre en place une politique intégrée du transport de marchandises conforme aux normes de qualité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22D3" w:rsidRPr="00AE3141" w:rsidRDefault="00613B16" w:rsidP="00613B16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30/03</w:t>
            </w:r>
            <w:r w:rsidR="006522D3">
              <w:rPr>
                <w:rFonts w:asciiTheme="majorHAnsi" w:hAnsiTheme="majorHAnsi"/>
                <w:sz w:val="19"/>
                <w:szCs w:val="19"/>
                <w:lang w:val="fr-FR"/>
              </w:rPr>
              <w:t>/2017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22D3" w:rsidRPr="004A3011" w:rsidRDefault="006522D3" w:rsidP="00822D5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La </w:t>
            </w:r>
            <w:r w:rsidRPr="00EB1998">
              <w:rPr>
                <w:rFonts w:asciiTheme="majorHAnsi" w:hAnsiTheme="majorHAnsi"/>
                <w:sz w:val="19"/>
                <w:szCs w:val="19"/>
                <w:lang w:val="fr-FR"/>
              </w:rPr>
              <w:t>politiqu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e intégrée du transport de marchandises conforme aux normes de qualité est mise en place,</w:t>
            </w:r>
          </w:p>
        </w:tc>
        <w:tc>
          <w:tcPr>
            <w:tcW w:w="1843" w:type="dxa"/>
            <w:vMerge/>
            <w:shd w:val="clear" w:color="auto" w:fill="FFFF00"/>
          </w:tcPr>
          <w:p w:rsidR="006522D3" w:rsidRPr="004A3011" w:rsidRDefault="006522D3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:rsidR="006522D3" w:rsidRPr="004A3011" w:rsidRDefault="006522D3">
            <w:pPr>
              <w:rPr>
                <w:lang w:val="fr-FR"/>
              </w:rPr>
            </w:pPr>
          </w:p>
        </w:tc>
        <w:tc>
          <w:tcPr>
            <w:tcW w:w="3119" w:type="dxa"/>
            <w:vMerge/>
            <w:tcBorders>
              <w:right w:val="thickThinSmallGap" w:sz="18" w:space="0" w:color="auto"/>
            </w:tcBorders>
          </w:tcPr>
          <w:p w:rsidR="006522D3" w:rsidRPr="004A3011" w:rsidRDefault="006522D3">
            <w:pPr>
              <w:rPr>
                <w:lang w:val="fr-FR"/>
              </w:rPr>
            </w:pPr>
          </w:p>
        </w:tc>
      </w:tr>
      <w:tr w:rsidR="00CC5064" w:rsidTr="00D2186C">
        <w:tc>
          <w:tcPr>
            <w:tcW w:w="16019" w:type="dxa"/>
            <w:gridSpan w:val="6"/>
            <w:tcBorders>
              <w:top w:val="thinThickLargeGap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00B050"/>
          </w:tcPr>
          <w:p w:rsidR="00CC5064" w:rsidRPr="0005293D" w:rsidRDefault="00822D5C" w:rsidP="0005293D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2B35FC">
              <w:rPr>
                <w:rFonts w:asciiTheme="majorHAnsi" w:hAnsiTheme="majorHAnsi"/>
                <w:b/>
                <w:sz w:val="28"/>
              </w:rPr>
              <w:t xml:space="preserve">A </w:t>
            </w:r>
            <w:r w:rsidR="00CC5064" w:rsidRPr="002B35FC">
              <w:rPr>
                <w:rFonts w:asciiTheme="majorHAnsi" w:hAnsiTheme="majorHAnsi"/>
                <w:b/>
                <w:sz w:val="28"/>
              </w:rPr>
              <w:t>COURT TERME</w:t>
            </w:r>
          </w:p>
        </w:tc>
      </w:tr>
      <w:tr w:rsidR="00C3161E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C3161E" w:rsidRPr="00393A0B" w:rsidRDefault="00C3161E" w:rsidP="00627AF6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fr-FR"/>
              </w:rPr>
            </w:pPr>
            <w:r w:rsidRPr="00393A0B">
              <w:rPr>
                <w:rFonts w:asciiTheme="majorHAnsi" w:hAnsiTheme="majorHAnsi"/>
                <w:lang w:val="fr-FR"/>
              </w:rPr>
              <w:t>Faire adopter le décret relatif aux équipements sous pression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3161E" w:rsidRPr="00627AF6" w:rsidRDefault="00C3161E" w:rsidP="00613B16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30/01/2017</w:t>
            </w:r>
          </w:p>
        </w:tc>
        <w:tc>
          <w:tcPr>
            <w:tcW w:w="2693" w:type="dxa"/>
          </w:tcPr>
          <w:p w:rsidR="00C3161E" w:rsidRPr="00FD4D1E" w:rsidRDefault="00C3161E" w:rsidP="002B35F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Le décret relatif aux équipements de sous pression est adopté en conseil des ministres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3161E" w:rsidRPr="00C3161E" w:rsidRDefault="00C3161E" w:rsidP="00175918">
            <w:pPr>
              <w:pStyle w:val="NormalWeb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val="fr-FR" w:eastAsia="en-US"/>
              </w:rPr>
            </w:pPr>
            <w:r>
              <w:rPr>
                <w:rFonts w:asciiTheme="majorHAnsi" w:eastAsiaTheme="minorHAnsi" w:hAnsiTheme="majorHAnsi" w:cstheme="minorBidi"/>
                <w:sz w:val="22"/>
                <w:szCs w:val="22"/>
                <w:lang w:val="fr-FR" w:eastAsia="en-US"/>
              </w:rPr>
              <w:t>MME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C3161E" w:rsidRPr="00C3161E" w:rsidRDefault="00C3161E" w:rsidP="00175918">
            <w:pPr>
              <w:pStyle w:val="NormalWeb"/>
              <w:jc w:val="center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SG et autres services du MME</w:t>
            </w:r>
          </w:p>
        </w:tc>
        <w:tc>
          <w:tcPr>
            <w:tcW w:w="311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C3161E" w:rsidRPr="00C3161E" w:rsidRDefault="00C3161E" w:rsidP="00627AF6">
            <w:pPr>
              <w:pStyle w:val="Paragraphedeliste"/>
              <w:ind w:left="360"/>
              <w:rPr>
                <w:rFonts w:asciiTheme="majorHAnsi" w:hAnsiTheme="majorHAnsi"/>
                <w:sz w:val="20"/>
                <w:lang w:val="fr-FR"/>
              </w:rPr>
            </w:pPr>
            <w:r w:rsidRPr="00C3161E">
              <w:rPr>
                <w:rFonts w:asciiTheme="majorHAnsi" w:hAnsiTheme="majorHAnsi"/>
                <w:sz w:val="20"/>
                <w:lang w:val="fr-FR"/>
              </w:rPr>
              <w:t xml:space="preserve">Non </w:t>
            </w:r>
            <w:r>
              <w:rPr>
                <w:rFonts w:asciiTheme="majorHAnsi" w:hAnsiTheme="majorHAnsi"/>
                <w:sz w:val="20"/>
                <w:lang w:val="fr-FR"/>
              </w:rPr>
              <w:t>réalisé</w:t>
            </w:r>
          </w:p>
        </w:tc>
      </w:tr>
      <w:tr w:rsidR="00AE1927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E1927" w:rsidRPr="00123CD6" w:rsidRDefault="00AE1927" w:rsidP="00627AF6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Elaborer et </w:t>
            </w:r>
            <w:r w:rsidRPr="00123CD6">
              <w:rPr>
                <w:rFonts w:asciiTheme="majorHAnsi" w:hAnsiTheme="majorHAnsi"/>
                <w:lang w:val="fr-FR"/>
              </w:rPr>
              <w:t>faire adopter la politique nationale de la qualité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E1927" w:rsidRPr="00CC5064" w:rsidRDefault="00393A0B" w:rsidP="00613B16">
            <w:pPr>
              <w:rPr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</w:t>
            </w:r>
            <w:r w:rsidR="00230BDA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613B16">
              <w:rPr>
                <w:rFonts w:asciiTheme="majorHAnsi" w:hAnsiTheme="majorHAnsi"/>
                <w:sz w:val="19"/>
                <w:szCs w:val="19"/>
                <w:lang w:val="fr-FR"/>
              </w:rPr>
              <w:t>0</w:t>
            </w:r>
            <w:r w:rsidR="00033C4B">
              <w:rPr>
                <w:rFonts w:asciiTheme="majorHAnsi" w:hAnsiTheme="majorHAnsi"/>
                <w:sz w:val="19"/>
                <w:szCs w:val="19"/>
                <w:lang w:val="fr-FR"/>
              </w:rPr>
              <w:t>1</w:t>
            </w:r>
            <w:r w:rsidR="00230BDA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AE1927" w:rsidRPr="00627AF6">
              <w:rPr>
                <w:rFonts w:asciiTheme="majorHAnsi" w:hAnsiTheme="majorHAnsi"/>
                <w:sz w:val="19"/>
                <w:szCs w:val="19"/>
                <w:lang w:val="fr-FR"/>
              </w:rPr>
              <w:t>201</w:t>
            </w:r>
            <w:r w:rsidR="00613B16">
              <w:rPr>
                <w:rFonts w:asciiTheme="majorHAnsi" w:hAnsiTheme="majorHAnsi"/>
                <w:sz w:val="19"/>
                <w:szCs w:val="19"/>
                <w:lang w:val="fr-FR"/>
              </w:rPr>
              <w:t>7</w:t>
            </w:r>
          </w:p>
        </w:tc>
        <w:tc>
          <w:tcPr>
            <w:tcW w:w="2693" w:type="dxa"/>
          </w:tcPr>
          <w:p w:rsidR="00AE1927" w:rsidRPr="00EC063B" w:rsidRDefault="00AE1927" w:rsidP="002B35FC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lang w:val="fr-FR"/>
              </w:rPr>
            </w:pPr>
            <w:r w:rsidRPr="00FD4D1E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La politique nationale qualité est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élaborée et </w:t>
            </w:r>
            <w:r w:rsidRPr="00FD4D1E">
              <w:rPr>
                <w:rFonts w:asciiTheme="majorHAnsi" w:hAnsiTheme="majorHAnsi"/>
                <w:sz w:val="19"/>
                <w:szCs w:val="19"/>
                <w:lang w:val="fr-FR"/>
              </w:rPr>
              <w:t>adoptée en conseil des ministres</w:t>
            </w: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AE1927" w:rsidRPr="00123CD6" w:rsidRDefault="00AE1927" w:rsidP="00175918">
            <w:pPr>
              <w:pStyle w:val="NormalWeb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123CD6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MCIPSPT</w:t>
            </w:r>
          </w:p>
        </w:tc>
        <w:tc>
          <w:tcPr>
            <w:tcW w:w="1984" w:type="dxa"/>
            <w:vMerge w:val="restart"/>
            <w:shd w:val="clear" w:color="auto" w:fill="FFC000"/>
            <w:vAlign w:val="center"/>
          </w:tcPr>
          <w:p w:rsidR="00AE1927" w:rsidRPr="00123CD6" w:rsidRDefault="00AE1927" w:rsidP="00175918">
            <w:pPr>
              <w:pStyle w:val="NormalWeb"/>
              <w:jc w:val="center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  <w:p w:rsidR="00AE1927" w:rsidRPr="00123CD6" w:rsidRDefault="00AE1927" w:rsidP="00175918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AE1927" w:rsidRPr="00123CD6" w:rsidRDefault="00AE1927" w:rsidP="00175918">
            <w:pPr>
              <w:jc w:val="center"/>
              <w:rPr>
                <w:rFonts w:asciiTheme="majorHAnsi" w:hAnsiTheme="majorHAnsi"/>
                <w:lang w:val="fr-FR"/>
              </w:rPr>
            </w:pPr>
            <w:r w:rsidRPr="00175918">
              <w:rPr>
                <w:rFonts w:asciiTheme="majorHAnsi" w:hAnsiTheme="majorHAnsi"/>
                <w:sz w:val="20"/>
                <w:lang w:val="fr-FR"/>
              </w:rPr>
              <w:t>SG/PFNSQAO/CNSPSQAO/HAUQE et Structures Techniques/DDI/DQM/DCIC/SAZOF</w:t>
            </w:r>
          </w:p>
        </w:tc>
        <w:tc>
          <w:tcPr>
            <w:tcW w:w="311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AE1927" w:rsidRPr="00C3161E" w:rsidRDefault="00AE1927" w:rsidP="00627AF6">
            <w:pPr>
              <w:pStyle w:val="Paragraphedeliste"/>
              <w:ind w:left="360"/>
              <w:rPr>
                <w:rFonts w:asciiTheme="majorHAnsi" w:hAnsiTheme="majorHAnsi"/>
                <w:sz w:val="20"/>
                <w:lang w:val="fr-FR"/>
              </w:rPr>
            </w:pPr>
            <w:r w:rsidRPr="00C3161E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  <w:p w:rsidR="00AE1927" w:rsidRPr="00627AF6" w:rsidRDefault="00AE1927" w:rsidP="00627AF6">
            <w:pPr>
              <w:jc w:val="center"/>
              <w:rPr>
                <w:sz w:val="24"/>
                <w:szCs w:val="24"/>
                <w:lang w:val="fr-FR"/>
              </w:rPr>
            </w:pPr>
            <w:r w:rsidRPr="00627AF6">
              <w:rPr>
                <w:rFonts w:asciiTheme="majorHAnsi" w:hAnsiTheme="majorHAnsi"/>
                <w:sz w:val="20"/>
                <w:lang w:val="fr-FR"/>
              </w:rPr>
              <w:t>Le document de politique nationale de la qualité a été validé le 14 juin 2016</w:t>
            </w:r>
          </w:p>
        </w:tc>
      </w:tr>
      <w:tr w:rsidR="00AE1927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E1927" w:rsidRPr="00123CD6" w:rsidRDefault="00AE1927" w:rsidP="00AE1927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Généraliser un système national uniforme de mesure et d’essais dans les domaines des produits et services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E1927" w:rsidRPr="00AE1927" w:rsidRDefault="00AE1927" w:rsidP="00101BC5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</w:t>
            </w:r>
            <w:r w:rsidR="00101BC5">
              <w:rPr>
                <w:rFonts w:asciiTheme="majorHAnsi" w:hAnsiTheme="majorHAnsi"/>
                <w:sz w:val="19"/>
                <w:szCs w:val="19"/>
                <w:lang w:val="fr-FR"/>
              </w:rPr>
              <w:t>0/06</w:t>
            </w:r>
            <w:r w:rsidR="00230BDA">
              <w:rPr>
                <w:rFonts w:asciiTheme="majorHAnsi" w:hAnsiTheme="majorHAnsi"/>
                <w:sz w:val="19"/>
                <w:szCs w:val="19"/>
                <w:lang w:val="fr-FR"/>
              </w:rPr>
              <w:t>/2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01</w:t>
            </w:r>
            <w:r w:rsidR="00101BC5">
              <w:rPr>
                <w:rFonts w:asciiTheme="majorHAnsi" w:hAnsiTheme="majorHAnsi"/>
                <w:sz w:val="19"/>
                <w:szCs w:val="19"/>
                <w:lang w:val="fr-FR"/>
              </w:rPr>
              <w:t>7</w:t>
            </w:r>
          </w:p>
        </w:tc>
        <w:tc>
          <w:tcPr>
            <w:tcW w:w="2693" w:type="dxa"/>
          </w:tcPr>
          <w:p w:rsidR="00AE1927" w:rsidRPr="00EC063B" w:rsidRDefault="00F677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</w:t>
            </w:r>
            <w:r w:rsidR="00AE1927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e </w:t>
            </w:r>
            <w:r w:rsidR="00AE1927" w:rsidRPr="009773C9">
              <w:rPr>
                <w:rFonts w:asciiTheme="majorHAnsi" w:hAnsiTheme="majorHAnsi"/>
                <w:sz w:val="19"/>
                <w:szCs w:val="19"/>
                <w:lang w:val="fr-FR"/>
              </w:rPr>
              <w:t>système national uniforme de mesure et d’essais dans les domaines des produits et services</w:t>
            </w:r>
            <w:r w:rsidR="00AE1927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sont adoptés et généralisés</w:t>
            </w:r>
          </w:p>
        </w:tc>
        <w:tc>
          <w:tcPr>
            <w:tcW w:w="1843" w:type="dxa"/>
            <w:vMerge/>
            <w:shd w:val="clear" w:color="auto" w:fill="FFFF00"/>
          </w:tcPr>
          <w:p w:rsidR="00AE1927" w:rsidRPr="00CC5064" w:rsidRDefault="00AE19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E1927" w:rsidRPr="00CC5064" w:rsidRDefault="00AE19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E1927" w:rsidRPr="00AE1927" w:rsidRDefault="00AE1927" w:rsidP="00AE1927">
            <w:pPr>
              <w:pStyle w:val="Paragraphedeliste"/>
              <w:ind w:left="360"/>
              <w:rPr>
                <w:rFonts w:asciiTheme="majorHAnsi" w:hAnsiTheme="majorHAnsi"/>
                <w:sz w:val="20"/>
                <w:lang w:val="fr-FR"/>
              </w:rPr>
            </w:pPr>
            <w:r w:rsidRPr="00AE1927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  <w:p w:rsidR="00AE1927" w:rsidRPr="00CC5064" w:rsidRDefault="00AE1927" w:rsidP="00AE1927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E1927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E1927" w:rsidRPr="00123CD6" w:rsidRDefault="00AE1927" w:rsidP="00AE1927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Elaborer et faire adopter le système international d’unités de mesure et veiller à sa mise en œuvre sur tout le territoire national 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E1927" w:rsidRPr="00AE1927" w:rsidRDefault="00AE1927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</w:p>
        </w:tc>
        <w:tc>
          <w:tcPr>
            <w:tcW w:w="2693" w:type="dxa"/>
          </w:tcPr>
          <w:p w:rsidR="00AE1927" w:rsidRPr="00EC063B" w:rsidRDefault="00F677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</w:t>
            </w:r>
            <w:r w:rsidR="00AE1927" w:rsidRPr="009773C9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e système international d’unités de mesure </w:t>
            </w:r>
            <w:r w:rsidR="00AE1927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est élaboré, adopté et </w:t>
            </w:r>
            <w:r w:rsidR="00AE1927" w:rsidRPr="009773C9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mise en œuvre </w:t>
            </w:r>
            <w:r w:rsidR="00AE1927">
              <w:rPr>
                <w:rFonts w:asciiTheme="majorHAnsi" w:hAnsiTheme="majorHAnsi"/>
                <w:sz w:val="19"/>
                <w:szCs w:val="19"/>
                <w:lang w:val="fr-FR"/>
              </w:rPr>
              <w:t>sur le territoire national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E1927" w:rsidRPr="00CC5064" w:rsidRDefault="00AE19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AE1927" w:rsidRPr="00CC5064" w:rsidRDefault="00AE19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vMerge/>
            <w:tcBorders>
              <w:right w:val="thickThinSmallGap" w:sz="24" w:space="0" w:color="auto"/>
            </w:tcBorders>
            <w:vAlign w:val="center"/>
          </w:tcPr>
          <w:p w:rsidR="00AE1927" w:rsidRPr="00CC5064" w:rsidRDefault="00AE1927" w:rsidP="00AE1927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E1927" w:rsidRPr="00CC5064" w:rsidTr="00D2186C">
        <w:tc>
          <w:tcPr>
            <w:tcW w:w="16019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00B0F0"/>
            <w:vAlign w:val="center"/>
          </w:tcPr>
          <w:p w:rsidR="00AE1927" w:rsidRPr="002B35FC" w:rsidRDefault="00822D5C" w:rsidP="00F67708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fr-FR"/>
              </w:rPr>
            </w:pPr>
            <w:r w:rsidRPr="002B35FC">
              <w:rPr>
                <w:rFonts w:asciiTheme="majorHAnsi" w:hAnsiTheme="majorHAnsi"/>
                <w:b/>
                <w:sz w:val="28"/>
                <w:lang w:val="fr-FR"/>
              </w:rPr>
              <w:t xml:space="preserve">A </w:t>
            </w:r>
            <w:r w:rsidR="00AE1927" w:rsidRPr="002B35FC">
              <w:rPr>
                <w:rFonts w:asciiTheme="majorHAnsi" w:hAnsiTheme="majorHAnsi"/>
                <w:b/>
                <w:sz w:val="28"/>
                <w:lang w:val="fr-FR"/>
              </w:rPr>
              <w:t>MOYEN OU LONG TERME</w:t>
            </w:r>
          </w:p>
        </w:tc>
      </w:tr>
      <w:tr w:rsidR="00D2186C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D2186C" w:rsidRPr="00123CD6" w:rsidRDefault="00D2186C" w:rsidP="00AE1927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Mettre en place un système de  reconnaissance</w:t>
            </w:r>
            <w:r>
              <w:rPr>
                <w:rFonts w:asciiTheme="majorHAnsi" w:hAnsiTheme="majorHAnsi"/>
                <w:lang w:val="fr-FR"/>
              </w:rPr>
              <w:t xml:space="preserve"> mutuelle</w:t>
            </w:r>
            <w:r w:rsidRPr="00123CD6">
              <w:rPr>
                <w:rFonts w:asciiTheme="majorHAnsi" w:hAnsiTheme="majorHAnsi"/>
                <w:lang w:val="fr-FR"/>
              </w:rPr>
              <w:t xml:space="preserve"> d’un organisme national et régional d’agrément et d’accréditation des laboratoires, pour les étalonnages et les essais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AE1927" w:rsidRDefault="00D2186C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30/04/2017</w:t>
            </w:r>
          </w:p>
        </w:tc>
        <w:tc>
          <w:tcPr>
            <w:tcW w:w="2693" w:type="dxa"/>
          </w:tcPr>
          <w:p w:rsidR="00D2186C" w:rsidRPr="00873A78" w:rsidRDefault="00D2186C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Le </w:t>
            </w:r>
            <w:r w:rsidRPr="00464DDF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système de  reconnaissance mutuelle d’un organisme national et régional d’agrément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est mise en place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Pr="004F7B01" w:rsidRDefault="00D2186C" w:rsidP="00AE1927">
            <w:pPr>
              <w:jc w:val="center"/>
              <w:rPr>
                <w:rFonts w:asciiTheme="majorHAnsi" w:hAnsiTheme="majorHAnsi"/>
                <w:lang w:val="fr-FR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  <w:r w:rsidRPr="00123CD6">
              <w:rPr>
                <w:rFonts w:asciiTheme="majorHAnsi" w:hAnsiTheme="majorHAnsi"/>
              </w:rPr>
              <w:t>MCIPSPT</w:t>
            </w: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rFonts w:asciiTheme="majorHAnsi" w:hAnsiTheme="majorHAnsi"/>
              </w:rPr>
            </w:pPr>
          </w:p>
          <w:p w:rsidR="00D2186C" w:rsidRDefault="00D2186C" w:rsidP="00AE1927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D2186C" w:rsidRDefault="00D2186C" w:rsidP="00AE1927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D2186C" w:rsidRPr="00873A78" w:rsidRDefault="00D2186C" w:rsidP="00AE1927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D2186C" w:rsidRPr="00873A78" w:rsidRDefault="00D2186C" w:rsidP="00315951">
            <w:pPr>
              <w:jc w:val="center"/>
              <w:rPr>
                <w:sz w:val="24"/>
                <w:szCs w:val="24"/>
                <w:lang w:val="fr-FR"/>
              </w:rPr>
            </w:pPr>
            <w:r w:rsidRPr="00123CD6">
              <w:rPr>
                <w:rFonts w:asciiTheme="majorHAnsi" w:hAnsiTheme="majorHAnsi"/>
              </w:rPr>
              <w:t>MCIPSPT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D2186C" w:rsidRPr="00873A78" w:rsidRDefault="00D2186C" w:rsidP="00AE1927">
            <w:pPr>
              <w:jc w:val="center"/>
              <w:rPr>
                <w:sz w:val="24"/>
                <w:szCs w:val="24"/>
                <w:lang w:val="fr-FR"/>
              </w:rPr>
            </w:pPr>
            <w:r w:rsidRPr="00175918">
              <w:rPr>
                <w:rFonts w:asciiTheme="majorHAnsi" w:hAnsiTheme="majorHAnsi"/>
                <w:sz w:val="20"/>
                <w:lang w:val="fr-FR"/>
              </w:rPr>
              <w:lastRenderedPageBreak/>
              <w:t>SG/PFNSQAO/CNSPSQAO/HAUQE et Structures Techniques/DDI/D</w:t>
            </w:r>
            <w:r w:rsidRPr="00175918">
              <w:rPr>
                <w:rFonts w:asciiTheme="majorHAnsi" w:hAnsiTheme="majorHAnsi"/>
                <w:sz w:val="20"/>
                <w:lang w:val="fr-FR"/>
              </w:rPr>
              <w:lastRenderedPageBreak/>
              <w:t>QM/DCIC/SAZOF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D2186C" w:rsidRPr="00E8028D" w:rsidRDefault="00D2186C" w:rsidP="00E8028D">
            <w:pPr>
              <w:pStyle w:val="Paragraphedeliste"/>
              <w:ind w:left="360"/>
              <w:rPr>
                <w:rFonts w:asciiTheme="majorHAnsi" w:hAnsiTheme="majorHAnsi"/>
                <w:sz w:val="20"/>
                <w:lang w:val="fr-FR"/>
              </w:rPr>
            </w:pPr>
            <w:r w:rsidRPr="00AE1927">
              <w:rPr>
                <w:rFonts w:asciiTheme="majorHAnsi" w:hAnsiTheme="majorHAnsi"/>
                <w:sz w:val="20"/>
                <w:lang w:val="fr-FR"/>
              </w:rPr>
              <w:lastRenderedPageBreak/>
              <w:t>Non encore réalisée</w:t>
            </w:r>
          </w:p>
        </w:tc>
      </w:tr>
      <w:tr w:rsidR="00D2186C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D2186C" w:rsidRPr="00EC063B" w:rsidRDefault="00D2186C" w:rsidP="00E8028D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lastRenderedPageBreak/>
              <w:t xml:space="preserve">Mettre en place </w:t>
            </w:r>
            <w:r>
              <w:rPr>
                <w:rFonts w:asciiTheme="majorHAnsi" w:hAnsiTheme="majorHAnsi"/>
                <w:lang w:val="fr-FR"/>
              </w:rPr>
              <w:t>l’</w:t>
            </w:r>
            <w:r w:rsidRPr="00123CD6">
              <w:rPr>
                <w:rFonts w:asciiTheme="majorHAnsi" w:hAnsiTheme="majorHAnsi"/>
                <w:lang w:val="fr-FR"/>
              </w:rPr>
              <w:t xml:space="preserve">agence </w:t>
            </w:r>
            <w:r>
              <w:rPr>
                <w:rFonts w:asciiTheme="majorHAnsi" w:hAnsiTheme="majorHAnsi"/>
                <w:lang w:val="fr-FR"/>
              </w:rPr>
              <w:t>togolaise</w:t>
            </w:r>
            <w:r w:rsidRPr="00123CD6">
              <w:rPr>
                <w:rFonts w:asciiTheme="majorHAnsi" w:hAnsiTheme="majorHAnsi"/>
                <w:lang w:val="fr-FR"/>
              </w:rPr>
              <w:t xml:space="preserve"> de métrologie avec un laboratoire de référence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186C" w:rsidRPr="00EC063B" w:rsidRDefault="00663052" w:rsidP="00663052">
            <w:pPr>
              <w:rPr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30</w:t>
            </w:r>
            <w:r w:rsidR="00D2186C">
              <w:rPr>
                <w:rFonts w:asciiTheme="majorHAnsi" w:hAnsiTheme="majorHAnsi"/>
                <w:sz w:val="19"/>
                <w:szCs w:val="19"/>
                <w:lang w:val="fr-FR"/>
              </w:rPr>
              <w:t>/0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5</w:t>
            </w:r>
            <w:r w:rsidR="00D2186C">
              <w:rPr>
                <w:rFonts w:asciiTheme="majorHAnsi" w:hAnsiTheme="majorHAnsi"/>
                <w:sz w:val="19"/>
                <w:szCs w:val="19"/>
                <w:lang w:val="fr-FR"/>
              </w:rPr>
              <w:t>/</w:t>
            </w:r>
            <w:r w:rsidR="00D2186C" w:rsidRPr="00AE1927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</w:tcPr>
          <w:p w:rsidR="00D2186C" w:rsidRDefault="00D2186C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.</w:t>
            </w:r>
          </w:p>
          <w:p w:rsidR="00D2186C" w:rsidRDefault="00D2186C" w:rsidP="00822D5C">
            <w:pPr>
              <w:pStyle w:val="Paragraphedeliste"/>
              <w:numPr>
                <w:ilvl w:val="1"/>
                <w:numId w:val="1"/>
              </w:numPr>
              <w:ind w:left="175" w:hanging="175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EC063B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L’agence 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togolaise</w:t>
            </w:r>
            <w:r w:rsidRPr="00EC063B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de métrologie est opérationnelle,</w:t>
            </w:r>
          </w:p>
          <w:p w:rsidR="00D2186C" w:rsidRPr="00EC063B" w:rsidRDefault="00D2186C" w:rsidP="00822D5C">
            <w:pPr>
              <w:pStyle w:val="Paragraphedeliste"/>
              <w:numPr>
                <w:ilvl w:val="1"/>
                <w:numId w:val="1"/>
              </w:numPr>
              <w:ind w:left="175" w:hanging="175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EC063B">
              <w:rPr>
                <w:rFonts w:asciiTheme="majorHAnsi" w:hAnsiTheme="majorHAnsi"/>
                <w:sz w:val="19"/>
                <w:szCs w:val="19"/>
                <w:lang w:val="fr-FR"/>
              </w:rPr>
              <w:t>Le laboratoire de référence est mise en place,</w:t>
            </w:r>
          </w:p>
        </w:tc>
        <w:tc>
          <w:tcPr>
            <w:tcW w:w="1843" w:type="dxa"/>
            <w:vMerge/>
            <w:shd w:val="clear" w:color="auto" w:fill="FFFF00"/>
          </w:tcPr>
          <w:p w:rsidR="00D2186C" w:rsidRPr="00EC063B" w:rsidRDefault="00D2186C" w:rsidP="0031595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D2186C" w:rsidRPr="00EC063B" w:rsidRDefault="00D2186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D2186C" w:rsidRPr="000247A2" w:rsidRDefault="00D2186C" w:rsidP="00E8028D">
            <w:pPr>
              <w:pStyle w:val="Paragraphedeliste"/>
              <w:ind w:left="360"/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0247A2">
              <w:rPr>
                <w:rFonts w:asciiTheme="majorHAnsi" w:hAnsiTheme="majorHAnsi"/>
                <w:sz w:val="20"/>
                <w:lang w:val="fr-FR"/>
              </w:rPr>
              <w:t>En cour de réalisation</w:t>
            </w:r>
          </w:p>
          <w:p w:rsidR="00D2186C" w:rsidRPr="000247A2" w:rsidRDefault="00D2186C" w:rsidP="00E8028D">
            <w:pPr>
              <w:jc w:val="center"/>
              <w:rPr>
                <w:sz w:val="24"/>
                <w:szCs w:val="24"/>
                <w:lang w:val="fr-FR"/>
              </w:rPr>
            </w:pPr>
            <w:r w:rsidRPr="000247A2">
              <w:rPr>
                <w:rFonts w:asciiTheme="majorHAnsi" w:hAnsiTheme="majorHAnsi"/>
                <w:sz w:val="20"/>
                <w:lang w:val="fr-FR"/>
              </w:rPr>
              <w:t>Le décret portant attributions, organisation et fonctionnement a été adopté le 24 décembre 2015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FA5391" w:rsidRDefault="00A17B08" w:rsidP="00FA5391">
            <w:pPr>
              <w:rPr>
                <w:rFonts w:asciiTheme="majorHAnsi" w:hAnsiTheme="majorHAnsi"/>
                <w:lang w:val="fr-FR"/>
              </w:rPr>
            </w:pPr>
            <w:r w:rsidRPr="00FA5391">
              <w:rPr>
                <w:rFonts w:asciiTheme="majorHAnsi" w:hAnsiTheme="majorHAnsi"/>
                <w:lang w:val="fr-FR"/>
              </w:rPr>
              <w:lastRenderedPageBreak/>
              <w:t xml:space="preserve">Faire adopter le décret d’application de </w:t>
            </w:r>
            <w:r>
              <w:rPr>
                <w:rFonts w:asciiTheme="majorHAnsi" w:hAnsiTheme="majorHAnsi"/>
                <w:lang w:val="fr-FR"/>
              </w:rPr>
              <w:t xml:space="preserve">la loi sur la métrologie légale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7B08" w:rsidRPr="00FA5391" w:rsidRDefault="00A17B08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24/12/2016</w:t>
            </w:r>
          </w:p>
        </w:tc>
        <w:tc>
          <w:tcPr>
            <w:tcW w:w="2693" w:type="dxa"/>
          </w:tcPr>
          <w:p w:rsidR="00A17B08" w:rsidRPr="00464DDF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Le décret d’application est adopté en conseil des ministres</w:t>
            </w: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A17B08" w:rsidRPr="00FA5391" w:rsidRDefault="00A17B08" w:rsidP="0031595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FFC000"/>
            <w:vAlign w:val="center"/>
          </w:tcPr>
          <w:p w:rsidR="00A17B08" w:rsidRPr="00FA5391" w:rsidRDefault="00A17B08" w:rsidP="00315951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175918">
              <w:rPr>
                <w:rFonts w:asciiTheme="majorHAnsi" w:hAnsiTheme="majorHAnsi"/>
                <w:sz w:val="20"/>
                <w:lang w:val="fr-FR"/>
              </w:rPr>
              <w:t>SG/PFNSQAO/CNSPSQAO/HAUQE et Structures Techniques/DDI/DQM/DCIC</w:t>
            </w: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A17B08" w:rsidRPr="000247A2" w:rsidRDefault="00A17B08" w:rsidP="00E8028D">
            <w:pPr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0247A2">
              <w:rPr>
                <w:rFonts w:asciiTheme="majorHAnsi" w:hAnsiTheme="majorHAnsi"/>
                <w:sz w:val="20"/>
                <w:lang w:val="fr-FR"/>
              </w:rPr>
              <w:t>En coure de réalisation</w:t>
            </w:r>
          </w:p>
        </w:tc>
      </w:tr>
      <w:tr w:rsidR="00A17B08" w:rsidRPr="00CC5064" w:rsidTr="00EB4830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EC063B" w:rsidRDefault="00A17B08" w:rsidP="00E8028D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Mettre en place l’institut national de métrologie légale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7B08" w:rsidRPr="00EC063B" w:rsidRDefault="00A17B08" w:rsidP="006522D3">
            <w:pPr>
              <w:rPr>
                <w:sz w:val="24"/>
                <w:szCs w:val="24"/>
                <w:lang w:val="fr-FR"/>
              </w:rPr>
            </w:pP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3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1/07/</w:t>
            </w: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</w:tcPr>
          <w:p w:rsidR="00A17B08" w:rsidRPr="00873A78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464DDF">
              <w:rPr>
                <w:rFonts w:asciiTheme="majorHAnsi" w:hAnsiTheme="majorHAnsi"/>
                <w:sz w:val="19"/>
                <w:szCs w:val="19"/>
                <w:lang w:val="fr-FR"/>
              </w:rPr>
              <w:t>L’institut national de métrologie légale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est opérationnel,</w:t>
            </w: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A17B08" w:rsidRPr="00873A78" w:rsidRDefault="00A17B08" w:rsidP="0031595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:rsidR="00A17B08" w:rsidRPr="00873A78" w:rsidRDefault="00A17B08" w:rsidP="0031595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A17B08" w:rsidRPr="000247A2" w:rsidRDefault="00A17B08" w:rsidP="00E8028D">
            <w:pPr>
              <w:jc w:val="center"/>
              <w:rPr>
                <w:sz w:val="24"/>
                <w:szCs w:val="24"/>
                <w:lang w:val="fr-FR"/>
              </w:rPr>
            </w:pPr>
            <w:r w:rsidRPr="000247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123CD6" w:rsidRDefault="00A17B08" w:rsidP="0031595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Adopter des méthodes compatibles et des procédures harmonisées pour déterminer, déclarer et éliminer les obstacles identifiés par un système d’information communautaire approprié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7B08" w:rsidRPr="00CC5064" w:rsidRDefault="00A17B08" w:rsidP="006522D3">
            <w:pPr>
              <w:rPr>
                <w:sz w:val="24"/>
                <w:szCs w:val="24"/>
                <w:lang w:val="fr-FR"/>
              </w:rPr>
            </w:pPr>
            <w:r w:rsidRPr="00E8028D">
              <w:rPr>
                <w:rFonts w:asciiTheme="majorHAnsi" w:hAnsiTheme="majorHAnsi"/>
                <w:sz w:val="19"/>
                <w:szCs w:val="19"/>
                <w:lang w:val="fr-FR"/>
              </w:rPr>
              <w:t>31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/05/2</w:t>
            </w:r>
            <w:r w:rsidRPr="00E8028D">
              <w:rPr>
                <w:rFonts w:asciiTheme="majorHAnsi" w:hAnsiTheme="majorHAnsi"/>
                <w:sz w:val="19"/>
                <w:szCs w:val="19"/>
                <w:lang w:val="fr-FR"/>
              </w:rPr>
              <w:t>017</w:t>
            </w:r>
          </w:p>
        </w:tc>
        <w:tc>
          <w:tcPr>
            <w:tcW w:w="2693" w:type="dxa"/>
          </w:tcPr>
          <w:p w:rsidR="00A17B08" w:rsidRPr="00EC063B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Les </w:t>
            </w:r>
            <w:r w:rsidRPr="009773C9">
              <w:rPr>
                <w:rFonts w:asciiTheme="majorHAnsi" w:hAnsiTheme="majorHAnsi"/>
                <w:sz w:val="19"/>
                <w:szCs w:val="19"/>
                <w:lang w:val="fr-FR"/>
              </w:rPr>
              <w:t>méthodes compatibles et des procédures harmonisées pour déterminer, déclarer et éliminer les obstacles identifiés par un système d’information communautaire approprié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sont adoptées</w:t>
            </w:r>
          </w:p>
        </w:tc>
        <w:tc>
          <w:tcPr>
            <w:tcW w:w="1843" w:type="dxa"/>
            <w:vMerge/>
            <w:shd w:val="clear" w:color="auto" w:fill="FFFF00"/>
          </w:tcPr>
          <w:p w:rsidR="00A17B08" w:rsidRPr="00CC5064" w:rsidRDefault="00A17B08" w:rsidP="0031595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17B08" w:rsidRPr="00CC5064" w:rsidRDefault="00A17B08" w:rsidP="0031595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A17B08" w:rsidRPr="000247A2" w:rsidRDefault="00A17B08" w:rsidP="00315951">
            <w:pPr>
              <w:jc w:val="center"/>
            </w:pPr>
            <w:r w:rsidRPr="000247A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123CD6" w:rsidRDefault="00A17B08" w:rsidP="0031595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>Préparer, adopter, appliquer et maintenir les mesures relatives à la normalisation, aux procédures d’autorisation ou d’habilitation, à la métrologie et à la gestion de l’environnement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7B08" w:rsidRPr="00CC5064" w:rsidRDefault="00A17B08" w:rsidP="006A781A">
            <w:pPr>
              <w:rPr>
                <w:sz w:val="24"/>
                <w:szCs w:val="24"/>
                <w:lang w:val="fr-FR"/>
              </w:rPr>
            </w:pPr>
            <w:r w:rsidRPr="00B01D31">
              <w:rPr>
                <w:rFonts w:asciiTheme="majorHAnsi" w:hAnsiTheme="majorHAnsi"/>
                <w:sz w:val="19"/>
                <w:szCs w:val="19"/>
                <w:lang w:val="fr-FR"/>
              </w:rPr>
              <w:t>30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/06/</w:t>
            </w:r>
            <w:r w:rsidRPr="00B01D31">
              <w:rPr>
                <w:rFonts w:asciiTheme="majorHAnsi" w:hAnsiTheme="majorHAnsi"/>
                <w:sz w:val="19"/>
                <w:szCs w:val="19"/>
                <w:lang w:val="fr-FR"/>
              </w:rPr>
              <w:t>201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7</w:t>
            </w:r>
          </w:p>
        </w:tc>
        <w:tc>
          <w:tcPr>
            <w:tcW w:w="2693" w:type="dxa"/>
          </w:tcPr>
          <w:p w:rsidR="00A17B08" w:rsidRPr="00EC063B" w:rsidRDefault="00A17B08" w:rsidP="00C35648">
            <w:pPr>
              <w:pStyle w:val="Paragraphedeliste"/>
              <w:numPr>
                <w:ilvl w:val="0"/>
                <w:numId w:val="1"/>
              </w:numPr>
              <w:ind w:left="317" w:hanging="317"/>
              <w:rPr>
                <w:rFonts w:asciiTheme="majorHAnsi" w:hAnsiTheme="majorHAnsi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</w:t>
            </w:r>
            <w:r w:rsidRPr="009773C9">
              <w:rPr>
                <w:rFonts w:asciiTheme="majorHAnsi" w:hAnsiTheme="majorHAnsi"/>
                <w:sz w:val="19"/>
                <w:szCs w:val="19"/>
                <w:lang w:val="fr-FR"/>
              </w:rPr>
              <w:t>es mesures relatives à la normalisation, aux procédures d’autorisation ou d’habilitation, à la métrologie et à la gestion de l’environnement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sont adoptées et appliquées</w:t>
            </w:r>
          </w:p>
        </w:tc>
        <w:tc>
          <w:tcPr>
            <w:tcW w:w="1843" w:type="dxa"/>
            <w:vMerge/>
            <w:shd w:val="clear" w:color="auto" w:fill="FFFF00"/>
          </w:tcPr>
          <w:p w:rsidR="00A17B08" w:rsidRPr="00CC5064" w:rsidRDefault="00A17B08" w:rsidP="0031595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17B08" w:rsidRPr="00CC5064" w:rsidRDefault="00A17B08" w:rsidP="0031595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  <w:vAlign w:val="center"/>
          </w:tcPr>
          <w:p w:rsidR="00A17B08" w:rsidRPr="00F63D62" w:rsidRDefault="00A17B08" w:rsidP="00315951">
            <w:pPr>
              <w:jc w:val="center"/>
            </w:pPr>
            <w:r w:rsidRPr="00F63D62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123CD6" w:rsidRDefault="00A17B08" w:rsidP="00E8028D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Mettre en place </w:t>
            </w:r>
            <w:r>
              <w:rPr>
                <w:rFonts w:asciiTheme="majorHAnsi" w:hAnsiTheme="majorHAnsi"/>
                <w:lang w:val="fr-FR"/>
              </w:rPr>
              <w:t>l’agence togolaise de normalisation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17B08" w:rsidRPr="00873A78" w:rsidRDefault="00A17B08" w:rsidP="006522D3">
            <w:pPr>
              <w:rPr>
                <w:sz w:val="24"/>
                <w:szCs w:val="24"/>
                <w:lang w:val="fr-FR"/>
              </w:rPr>
            </w:pP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3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0/04/</w:t>
            </w: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</w:tcPr>
          <w:p w:rsidR="00A17B08" w:rsidRPr="00873A78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L’</w:t>
            </w:r>
            <w:r w:rsidRPr="00464DDF">
              <w:rPr>
                <w:rFonts w:asciiTheme="majorHAnsi" w:hAnsiTheme="majorHAnsi"/>
                <w:sz w:val="19"/>
                <w:szCs w:val="19"/>
                <w:lang w:val="fr-FR"/>
              </w:rPr>
              <w:t>organisme d’élaboration des normes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est opérationnel,</w:t>
            </w:r>
          </w:p>
        </w:tc>
        <w:tc>
          <w:tcPr>
            <w:tcW w:w="1843" w:type="dxa"/>
            <w:vMerge/>
            <w:shd w:val="clear" w:color="auto" w:fill="FFFF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right w:val="thickThinSmallGap" w:sz="24" w:space="0" w:color="auto"/>
            </w:tcBorders>
          </w:tcPr>
          <w:p w:rsidR="00A17B08" w:rsidRPr="00F63D62" w:rsidRDefault="00A17B08" w:rsidP="00E8028D">
            <w:pPr>
              <w:pStyle w:val="Paragraphedeliste"/>
              <w:ind w:left="360"/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63D62">
              <w:rPr>
                <w:rFonts w:asciiTheme="majorHAnsi" w:hAnsiTheme="majorHAnsi"/>
                <w:sz w:val="20"/>
                <w:lang w:val="fr-FR"/>
              </w:rPr>
              <w:t>En cour de réalisation</w:t>
            </w:r>
          </w:p>
          <w:p w:rsidR="00A17B08" w:rsidRPr="00F63D62" w:rsidRDefault="00A17B08" w:rsidP="00E8028D">
            <w:pPr>
              <w:rPr>
                <w:sz w:val="24"/>
                <w:szCs w:val="24"/>
                <w:lang w:val="fr-FR"/>
              </w:rPr>
            </w:pPr>
            <w:r w:rsidRPr="00F63D62">
              <w:rPr>
                <w:rFonts w:asciiTheme="majorHAnsi" w:hAnsiTheme="majorHAnsi"/>
                <w:sz w:val="20"/>
                <w:lang w:val="fr-FR"/>
              </w:rPr>
              <w:t>Le décret portant attributions, organisation et fonctionnement a été adopté le 24 décembre 2015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123CD6" w:rsidRDefault="00A17B08" w:rsidP="00E8028D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Mettre en place </w:t>
            </w:r>
            <w:r>
              <w:rPr>
                <w:rFonts w:asciiTheme="majorHAnsi" w:hAnsiTheme="majorHAnsi"/>
                <w:lang w:val="fr-FR"/>
              </w:rPr>
              <w:t>l’agence togolaise</w:t>
            </w:r>
            <w:r w:rsidRPr="00123CD6">
              <w:rPr>
                <w:rFonts w:asciiTheme="majorHAnsi" w:hAnsiTheme="majorHAnsi"/>
                <w:lang w:val="fr-FR"/>
              </w:rPr>
              <w:t xml:space="preserve"> de promotion de la qualité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17B08" w:rsidRPr="00873A78" w:rsidRDefault="00A17B08" w:rsidP="006522D3">
            <w:pPr>
              <w:rPr>
                <w:sz w:val="24"/>
                <w:szCs w:val="24"/>
                <w:lang w:val="fr-FR"/>
              </w:rPr>
            </w:pP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3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0/04/</w:t>
            </w:r>
            <w:r w:rsidRPr="00AE1927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</w:tcPr>
          <w:p w:rsidR="00A17B08" w:rsidRPr="00873A78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L’</w:t>
            </w:r>
            <w:r w:rsidRPr="00464DDF">
              <w:rPr>
                <w:rFonts w:asciiTheme="majorHAnsi" w:hAnsiTheme="majorHAnsi"/>
                <w:sz w:val="19"/>
                <w:szCs w:val="19"/>
                <w:lang w:val="fr-FR"/>
              </w:rPr>
              <w:t>organisme d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e promotion de la qualité est opérationnel,</w:t>
            </w:r>
          </w:p>
        </w:tc>
        <w:tc>
          <w:tcPr>
            <w:tcW w:w="1843" w:type="dxa"/>
            <w:vMerge/>
            <w:shd w:val="clear" w:color="auto" w:fill="FFFF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A17B08" w:rsidRPr="00F63D62" w:rsidRDefault="00A17B08" w:rsidP="00B605A4">
            <w:pPr>
              <w:pStyle w:val="Paragraphedeliste"/>
              <w:ind w:left="360"/>
              <w:jc w:val="center"/>
              <w:rPr>
                <w:rFonts w:asciiTheme="majorHAnsi" w:hAnsiTheme="majorHAnsi"/>
                <w:sz w:val="20"/>
                <w:lang w:val="fr-FR"/>
              </w:rPr>
            </w:pPr>
            <w:r w:rsidRPr="00F63D62">
              <w:rPr>
                <w:rFonts w:asciiTheme="majorHAnsi" w:hAnsiTheme="majorHAnsi"/>
                <w:sz w:val="20"/>
                <w:lang w:val="fr-FR"/>
              </w:rPr>
              <w:t>En cour de réalisation</w:t>
            </w:r>
          </w:p>
          <w:p w:rsidR="00A17B08" w:rsidRPr="00F63D62" w:rsidRDefault="00A17B08" w:rsidP="00B605A4">
            <w:pPr>
              <w:jc w:val="center"/>
              <w:rPr>
                <w:sz w:val="24"/>
                <w:szCs w:val="24"/>
                <w:lang w:val="fr-FR"/>
              </w:rPr>
            </w:pPr>
            <w:r w:rsidRPr="00F63D62">
              <w:rPr>
                <w:rFonts w:asciiTheme="majorHAnsi" w:hAnsiTheme="majorHAnsi"/>
                <w:sz w:val="20"/>
                <w:lang w:val="fr-FR"/>
              </w:rPr>
              <w:t>Le décret portant attributions, organisation et fonctionnement a été adopté le 24 décembre 2015</w:t>
            </w: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</w:tcBorders>
            <w:vAlign w:val="center"/>
          </w:tcPr>
          <w:p w:rsidR="00A17B08" w:rsidRPr="00123CD6" w:rsidRDefault="00A17B08" w:rsidP="00E8028D">
            <w:pPr>
              <w:rPr>
                <w:rFonts w:asciiTheme="majorHAnsi" w:hAnsiTheme="majorHAnsi"/>
                <w:lang w:val="fr-FR"/>
              </w:rPr>
            </w:pPr>
            <w:r w:rsidRPr="00123CD6">
              <w:rPr>
                <w:rFonts w:asciiTheme="majorHAnsi" w:hAnsiTheme="majorHAnsi"/>
                <w:lang w:val="fr-FR"/>
              </w:rPr>
              <w:t xml:space="preserve">Mettre en place un organisme </w:t>
            </w:r>
            <w:r>
              <w:rPr>
                <w:rFonts w:asciiTheme="majorHAnsi" w:hAnsiTheme="majorHAnsi"/>
                <w:lang w:val="fr-FR"/>
              </w:rPr>
              <w:t xml:space="preserve">de </w:t>
            </w:r>
            <w:r w:rsidRPr="00123CD6">
              <w:rPr>
                <w:rFonts w:asciiTheme="majorHAnsi" w:hAnsiTheme="majorHAnsi"/>
                <w:lang w:val="fr-FR"/>
              </w:rPr>
              <w:t xml:space="preserve">coordination de </w:t>
            </w:r>
            <w:r w:rsidRPr="00123CD6">
              <w:rPr>
                <w:rFonts w:asciiTheme="majorHAnsi" w:hAnsiTheme="majorHAnsi"/>
                <w:lang w:val="fr-FR"/>
              </w:rPr>
              <w:lastRenderedPageBreak/>
              <w:t>l’infrastructure qualité</w:t>
            </w:r>
            <w:r>
              <w:rPr>
                <w:rFonts w:asciiTheme="majorHAnsi" w:hAnsiTheme="majorHAnsi"/>
                <w:lang w:val="fr-FR"/>
              </w:rPr>
              <w:t xml:space="preserve"> et</w:t>
            </w:r>
            <w:r w:rsidRPr="00123CD6">
              <w:rPr>
                <w:rFonts w:asciiTheme="majorHAnsi" w:hAnsiTheme="majorHAnsi"/>
                <w:lang w:val="fr-FR"/>
              </w:rPr>
              <w:t xml:space="preserve"> de gestion de l’environnement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A17B08" w:rsidRPr="00873A78" w:rsidRDefault="00A17B08" w:rsidP="006522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:rsidR="00A17B08" w:rsidRPr="00873A78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L’</w:t>
            </w:r>
            <w:r w:rsidRPr="00630F60">
              <w:rPr>
                <w:rFonts w:asciiTheme="majorHAnsi" w:hAnsiTheme="majorHAnsi"/>
                <w:sz w:val="19"/>
                <w:szCs w:val="19"/>
                <w:lang w:val="fr-FR"/>
              </w:rPr>
              <w:t xml:space="preserve">organisme de </w:t>
            </w:r>
            <w:r w:rsidRPr="00630F60">
              <w:rPr>
                <w:rFonts w:asciiTheme="majorHAnsi" w:hAnsiTheme="majorHAnsi"/>
                <w:sz w:val="19"/>
                <w:szCs w:val="19"/>
                <w:lang w:val="fr-FR"/>
              </w:rPr>
              <w:lastRenderedPageBreak/>
              <w:t>coordination de l’infrastructure qualité et de gestion de l’environnement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 xml:space="preserve"> est opérationnel</w:t>
            </w:r>
          </w:p>
        </w:tc>
        <w:tc>
          <w:tcPr>
            <w:tcW w:w="1843" w:type="dxa"/>
            <w:vMerge/>
            <w:shd w:val="clear" w:color="auto" w:fill="FFFF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shd w:val="clear" w:color="auto" w:fill="FFC0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vMerge/>
            <w:tcBorders>
              <w:right w:val="thickThinSmallGap" w:sz="24" w:space="0" w:color="auto"/>
            </w:tcBorders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</w:tr>
      <w:tr w:rsidR="00A17B08" w:rsidRPr="00CC5064" w:rsidTr="006522D3">
        <w:tc>
          <w:tcPr>
            <w:tcW w:w="5104" w:type="dxa"/>
            <w:tcBorders>
              <w:left w:val="thinThickSmallGap" w:sz="24" w:space="0" w:color="auto"/>
              <w:bottom w:val="thinThickLargeGap" w:sz="4" w:space="0" w:color="auto"/>
            </w:tcBorders>
            <w:vAlign w:val="center"/>
          </w:tcPr>
          <w:p w:rsidR="00A17B08" w:rsidRPr="00873A78" w:rsidRDefault="00A17B08" w:rsidP="00E8028D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lastRenderedPageBreak/>
              <w:t>A</w:t>
            </w:r>
            <w:r w:rsidRPr="00123CD6">
              <w:rPr>
                <w:rFonts w:asciiTheme="majorHAnsi" w:hAnsiTheme="majorHAnsi"/>
                <w:lang w:val="fr-FR"/>
              </w:rPr>
              <w:t>mener le secteur privé à introduire systématiquement les normes de qualité dans les appels d’offre et à adopter les nomes en vigueur pour tout service et produit</w:t>
            </w:r>
          </w:p>
        </w:tc>
        <w:tc>
          <w:tcPr>
            <w:tcW w:w="1276" w:type="dxa"/>
            <w:tcBorders>
              <w:bottom w:val="thinThickLargeGap" w:sz="4" w:space="0" w:color="auto"/>
            </w:tcBorders>
            <w:shd w:val="clear" w:color="auto" w:fill="BFBFBF" w:themeFill="background1" w:themeFillShade="BF"/>
            <w:vAlign w:val="center"/>
          </w:tcPr>
          <w:p w:rsidR="00A17B08" w:rsidRPr="00B605A4" w:rsidRDefault="00A17B08" w:rsidP="006522D3">
            <w:pPr>
              <w:rPr>
                <w:rFonts w:asciiTheme="majorHAnsi" w:hAnsiTheme="majorHAnsi"/>
                <w:sz w:val="19"/>
                <w:szCs w:val="19"/>
                <w:lang w:val="fr-FR"/>
              </w:rPr>
            </w:pPr>
            <w:r w:rsidRPr="00B605A4">
              <w:rPr>
                <w:rFonts w:asciiTheme="majorHAnsi" w:hAnsiTheme="majorHAnsi"/>
                <w:sz w:val="19"/>
                <w:szCs w:val="19"/>
                <w:lang w:val="fr-FR"/>
              </w:rPr>
              <w:t>31</w:t>
            </w:r>
            <w:r>
              <w:rPr>
                <w:rFonts w:asciiTheme="majorHAnsi" w:hAnsiTheme="majorHAnsi"/>
                <w:sz w:val="19"/>
                <w:szCs w:val="19"/>
                <w:lang w:val="fr-FR"/>
              </w:rPr>
              <w:t>/03/</w:t>
            </w:r>
            <w:r w:rsidRPr="00B605A4">
              <w:rPr>
                <w:rFonts w:asciiTheme="majorHAnsi" w:hAnsiTheme="majorHAnsi"/>
                <w:sz w:val="19"/>
                <w:szCs w:val="19"/>
                <w:lang w:val="fr-FR"/>
              </w:rPr>
              <w:t>2017</w:t>
            </w:r>
          </w:p>
        </w:tc>
        <w:tc>
          <w:tcPr>
            <w:tcW w:w="2693" w:type="dxa"/>
            <w:tcBorders>
              <w:bottom w:val="thinThickLargeGap" w:sz="4" w:space="0" w:color="auto"/>
            </w:tcBorders>
          </w:tcPr>
          <w:p w:rsidR="00A17B08" w:rsidRPr="00630F60" w:rsidRDefault="00A17B08" w:rsidP="00822D5C">
            <w:pPr>
              <w:pStyle w:val="Paragraphedeliste"/>
              <w:numPr>
                <w:ilvl w:val="0"/>
                <w:numId w:val="1"/>
              </w:numPr>
              <w:ind w:left="317" w:hanging="28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sz w:val="19"/>
                <w:szCs w:val="19"/>
                <w:lang w:val="fr-FR"/>
              </w:rPr>
              <w:t>.</w:t>
            </w:r>
          </w:p>
          <w:p w:rsidR="00A17B08" w:rsidRPr="00046FB3" w:rsidRDefault="00A17B08" w:rsidP="00822D5C">
            <w:pPr>
              <w:pStyle w:val="Paragraphedeliste"/>
              <w:numPr>
                <w:ilvl w:val="1"/>
                <w:numId w:val="1"/>
              </w:numPr>
              <w:ind w:left="317" w:hanging="317"/>
              <w:rPr>
                <w:rFonts w:asciiTheme="majorHAnsi" w:hAnsiTheme="majorHAnsi"/>
                <w:lang w:val="fr-FR"/>
              </w:rPr>
            </w:pPr>
            <w:r w:rsidRPr="00046FB3">
              <w:rPr>
                <w:rFonts w:asciiTheme="majorHAnsi" w:hAnsiTheme="majorHAnsi"/>
                <w:sz w:val="19"/>
                <w:szCs w:val="19"/>
                <w:lang w:val="fr-FR"/>
              </w:rPr>
              <w:t>Les appels d’offres des opérateurs privés respectent les normes de qualité,</w:t>
            </w:r>
          </w:p>
          <w:p w:rsidR="00A17B08" w:rsidRPr="00046FB3" w:rsidRDefault="00A17B08" w:rsidP="00822D5C">
            <w:pPr>
              <w:pStyle w:val="Paragraphedeliste"/>
              <w:numPr>
                <w:ilvl w:val="1"/>
                <w:numId w:val="1"/>
              </w:numPr>
              <w:ind w:left="317" w:hanging="317"/>
              <w:rPr>
                <w:rFonts w:asciiTheme="majorHAnsi" w:hAnsiTheme="majorHAnsi"/>
                <w:lang w:val="fr-FR"/>
              </w:rPr>
            </w:pPr>
            <w:r w:rsidRPr="00046FB3">
              <w:rPr>
                <w:rFonts w:asciiTheme="majorHAnsi" w:hAnsiTheme="majorHAnsi"/>
                <w:sz w:val="19"/>
                <w:szCs w:val="19"/>
                <w:lang w:val="fr-FR"/>
              </w:rPr>
              <w:t>Les services et produits des opérateurs économiques privés sont conformes aux normes</w:t>
            </w:r>
          </w:p>
        </w:tc>
        <w:tc>
          <w:tcPr>
            <w:tcW w:w="1843" w:type="dxa"/>
            <w:vMerge/>
            <w:tcBorders>
              <w:bottom w:val="thinThickLargeGap" w:sz="4" w:space="0" w:color="auto"/>
            </w:tcBorders>
            <w:shd w:val="clear" w:color="auto" w:fill="FFFF00"/>
          </w:tcPr>
          <w:p w:rsidR="00A17B08" w:rsidRPr="00873A78" w:rsidRDefault="00A17B08" w:rsidP="00046FB3">
            <w:pPr>
              <w:pStyle w:val="Paragraphedeliste"/>
              <w:ind w:left="317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vMerge/>
            <w:tcBorders>
              <w:bottom w:val="thinThickLargeGap" w:sz="4" w:space="0" w:color="auto"/>
            </w:tcBorders>
            <w:shd w:val="clear" w:color="auto" w:fill="FFC000"/>
          </w:tcPr>
          <w:p w:rsidR="00A17B08" w:rsidRPr="00873A78" w:rsidRDefault="00A17B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  <w:tcBorders>
              <w:bottom w:val="thinThickLargeGap" w:sz="4" w:space="0" w:color="auto"/>
              <w:right w:val="thickThinSmallGap" w:sz="24" w:space="0" w:color="auto"/>
            </w:tcBorders>
            <w:vAlign w:val="center"/>
          </w:tcPr>
          <w:p w:rsidR="00A17B08" w:rsidRPr="00C057E9" w:rsidRDefault="00A17B08" w:rsidP="00B605A4">
            <w:pPr>
              <w:jc w:val="center"/>
              <w:rPr>
                <w:sz w:val="24"/>
                <w:szCs w:val="24"/>
                <w:lang w:val="fr-FR"/>
              </w:rPr>
            </w:pPr>
            <w:r w:rsidRPr="00C057E9">
              <w:rPr>
                <w:rFonts w:asciiTheme="majorHAnsi" w:hAnsiTheme="majorHAnsi"/>
                <w:sz w:val="20"/>
                <w:lang w:val="fr-FR"/>
              </w:rPr>
              <w:t>Non encore réalisée</w:t>
            </w:r>
          </w:p>
        </w:tc>
      </w:tr>
    </w:tbl>
    <w:p w:rsidR="0090004F" w:rsidRPr="00A12DD8" w:rsidRDefault="0090004F">
      <w:pPr>
        <w:rPr>
          <w:sz w:val="14"/>
          <w:szCs w:val="24"/>
        </w:rPr>
      </w:pPr>
    </w:p>
    <w:sectPr w:rsidR="0090004F" w:rsidRPr="00A12DD8" w:rsidSect="006522D3">
      <w:headerReference w:type="default" r:id="rId8"/>
      <w:footerReference w:type="default" r:id="rId9"/>
      <w:pgSz w:w="16838" w:h="11906" w:orient="landscape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1A" w:rsidRDefault="002A511A" w:rsidP="00817215">
      <w:pPr>
        <w:spacing w:after="0" w:line="240" w:lineRule="auto"/>
      </w:pPr>
      <w:r>
        <w:separator/>
      </w:r>
    </w:p>
  </w:endnote>
  <w:endnote w:type="continuationSeparator" w:id="1">
    <w:p w:rsidR="002A511A" w:rsidRDefault="002A511A" w:rsidP="008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0502"/>
      <w:docPartObj>
        <w:docPartGallery w:val="Page Numbers (Bottom of Page)"/>
        <w:docPartUnique/>
      </w:docPartObj>
    </w:sdtPr>
    <w:sdtContent>
      <w:p w:rsidR="00421D9E" w:rsidRDefault="0081773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421D9E" w:rsidRPr="00421D9E" w:rsidRDefault="00817734">
                    <w:pPr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 w:rsidRPr="00421D9E">
                      <w:rPr>
                        <w:rFonts w:asciiTheme="majorHAnsi" w:hAnsiTheme="majorHAnsi"/>
                        <w:b/>
                        <w:sz w:val="24"/>
                      </w:rPr>
                      <w:fldChar w:fldCharType="begin"/>
                    </w:r>
                    <w:r w:rsidR="00421D9E" w:rsidRPr="00421D9E">
                      <w:rPr>
                        <w:rFonts w:asciiTheme="majorHAnsi" w:hAnsiTheme="majorHAnsi"/>
                        <w:b/>
                        <w:sz w:val="24"/>
                      </w:rPr>
                      <w:instrText xml:space="preserve"> PAGE    \* MERGEFORMAT </w:instrText>
                    </w:r>
                    <w:r w:rsidRPr="00421D9E">
                      <w:rPr>
                        <w:rFonts w:asciiTheme="majorHAnsi" w:hAnsiTheme="majorHAnsi"/>
                        <w:b/>
                        <w:sz w:val="24"/>
                      </w:rPr>
                      <w:fldChar w:fldCharType="separate"/>
                    </w:r>
                    <w:r w:rsidR="00C057E9" w:rsidRPr="00C057E9">
                      <w:rPr>
                        <w:rFonts w:asciiTheme="majorHAnsi" w:hAnsiTheme="majorHAnsi"/>
                        <w:b/>
                        <w:noProof/>
                        <w:sz w:val="18"/>
                        <w:szCs w:val="16"/>
                      </w:rPr>
                      <w:t>1</w:t>
                    </w:r>
                    <w:r w:rsidRPr="00421D9E">
                      <w:rPr>
                        <w:rFonts w:asciiTheme="majorHAnsi" w:hAnsiTheme="majorHAnsi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1A" w:rsidRDefault="002A511A" w:rsidP="00817215">
      <w:pPr>
        <w:spacing w:after="0" w:line="240" w:lineRule="auto"/>
      </w:pPr>
      <w:r>
        <w:separator/>
      </w:r>
    </w:p>
  </w:footnote>
  <w:footnote w:type="continuationSeparator" w:id="1">
    <w:p w:rsidR="002A511A" w:rsidRDefault="002A511A" w:rsidP="0081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6019" w:type="dxa"/>
      <w:tblInd w:w="-885" w:type="dxa"/>
      <w:tblLayout w:type="fixed"/>
      <w:tblLook w:val="04A0"/>
    </w:tblPr>
    <w:tblGrid>
      <w:gridCol w:w="5104"/>
      <w:gridCol w:w="1276"/>
      <w:gridCol w:w="2693"/>
      <w:gridCol w:w="1843"/>
      <w:gridCol w:w="1984"/>
      <w:gridCol w:w="3119"/>
    </w:tblGrid>
    <w:tr w:rsidR="00817215" w:rsidRPr="000273A8" w:rsidTr="00D2186C">
      <w:trPr>
        <w:trHeight w:val="1185"/>
      </w:trPr>
      <w:tc>
        <w:tcPr>
          <w:tcW w:w="16019" w:type="dxa"/>
          <w:gridSpan w:val="6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</w:tcBorders>
          <w:shd w:val="clear" w:color="auto" w:fill="FFC000"/>
        </w:tcPr>
        <w:p w:rsidR="00817215" w:rsidRPr="00695AAC" w:rsidRDefault="00245C8E" w:rsidP="00476956">
          <w:pPr>
            <w:spacing w:after="200" w:line="276" w:lineRule="auto"/>
            <w:jc w:val="center"/>
            <w:rPr>
              <w:rFonts w:ascii="Bookman Old Style" w:hAnsi="Bookman Old Style"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sz w:val="20"/>
              <w:szCs w:val="20"/>
              <w:lang w:val="fr-FR"/>
            </w:rPr>
            <w:t xml:space="preserve">TABLEAU DES MESURES A </w:t>
          </w:r>
          <w:r w:rsidR="00476956" w:rsidRPr="00695AAC">
            <w:rPr>
              <w:rFonts w:ascii="Bookman Old Style" w:hAnsi="Bookman Old Style"/>
              <w:sz w:val="20"/>
              <w:szCs w:val="20"/>
              <w:lang w:val="fr-FR"/>
            </w:rPr>
            <w:t>P</w:t>
          </w:r>
          <w:r w:rsidRPr="00695AAC">
            <w:rPr>
              <w:rFonts w:ascii="Bookman Old Style" w:hAnsi="Bookman Old Style"/>
              <w:sz w:val="20"/>
              <w:szCs w:val="20"/>
              <w:lang w:val="fr-FR"/>
            </w:rPr>
            <w:t>RENDRE PAR</w:t>
          </w:r>
          <w:r w:rsidR="00817215" w:rsidRPr="00695AAC">
            <w:rPr>
              <w:rFonts w:ascii="Bookman Old Style" w:hAnsi="Bookman Old Style"/>
              <w:sz w:val="20"/>
              <w:szCs w:val="20"/>
              <w:lang w:val="fr-FR"/>
            </w:rPr>
            <w:t xml:space="preserve"> LES MINISTERES ET INSTITUTIONS </w:t>
          </w:r>
          <w:r w:rsidRPr="00695AAC">
            <w:rPr>
              <w:rFonts w:ascii="Bookman Old Style" w:hAnsi="Bookman Old Style"/>
              <w:sz w:val="20"/>
              <w:szCs w:val="20"/>
              <w:lang w:val="fr-FR"/>
            </w:rPr>
            <w:t>PUBLIQUES POUR LA MISE EN ŒUVRE DE LA LOI CADRE N° 2009-016 DU 12 AOUT 2009 ET LE DECRET N° 2015 – 125/PR DU 24 DECEMBRE 2015</w:t>
          </w:r>
          <w:r w:rsidR="00822D5C" w:rsidRPr="00695AAC">
            <w:rPr>
              <w:rFonts w:ascii="Bookman Old Style" w:hAnsi="Bookman Old Style"/>
              <w:sz w:val="20"/>
              <w:szCs w:val="20"/>
              <w:lang w:val="fr-FR"/>
            </w:rPr>
            <w:t xml:space="preserve"> RELATIFS A LA</w:t>
          </w:r>
          <w:r w:rsidR="00817215" w:rsidRPr="00695AAC">
            <w:rPr>
              <w:rFonts w:ascii="Bookman Old Style" w:hAnsi="Bookman Old Style"/>
              <w:sz w:val="20"/>
              <w:szCs w:val="20"/>
              <w:lang w:val="fr-FR"/>
            </w:rPr>
            <w:t xml:space="preserve"> QUALITE</w:t>
          </w:r>
        </w:p>
      </w:tc>
    </w:tr>
    <w:tr w:rsidR="00817215" w:rsidRPr="000273A8" w:rsidTr="006522D3">
      <w:trPr>
        <w:trHeight w:val="456"/>
      </w:trPr>
      <w:tc>
        <w:tcPr>
          <w:tcW w:w="5104" w:type="dxa"/>
          <w:tcBorders>
            <w:top w:val="thinThickSmallGap" w:sz="24" w:space="0" w:color="auto"/>
            <w:left w:val="thinThickSmallGap" w:sz="2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>ACTIONS</w:t>
          </w:r>
        </w:p>
      </w:tc>
      <w:tc>
        <w:tcPr>
          <w:tcW w:w="1276" w:type="dxa"/>
          <w:tcBorders>
            <w:top w:val="thinThickSmallGap" w:sz="24" w:space="0" w:color="auto"/>
            <w:left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>ECHEANCE</w:t>
          </w:r>
        </w:p>
      </w:tc>
      <w:tc>
        <w:tcPr>
          <w:tcW w:w="2693" w:type="dxa"/>
          <w:tcBorders>
            <w:top w:val="thinThickSmallGap" w:sz="24" w:space="0" w:color="auto"/>
            <w:left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 xml:space="preserve">INDICATEURS </w:t>
          </w:r>
        </w:p>
      </w:tc>
      <w:tc>
        <w:tcPr>
          <w:tcW w:w="1843" w:type="dxa"/>
          <w:tcBorders>
            <w:top w:val="thinThick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>STRUCTURES PILOTES</w:t>
          </w:r>
        </w:p>
      </w:tc>
      <w:tc>
        <w:tcPr>
          <w:tcW w:w="1984" w:type="dxa"/>
          <w:tcBorders>
            <w:top w:val="thinThick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>STRUCTURES IMPLIQUEES</w:t>
          </w:r>
        </w:p>
      </w:tc>
      <w:tc>
        <w:tcPr>
          <w:tcW w:w="3119" w:type="dxa"/>
          <w:tcBorders>
            <w:top w:val="thinThickSmallGap" w:sz="24" w:space="0" w:color="auto"/>
            <w:left w:val="single" w:sz="4" w:space="0" w:color="auto"/>
            <w:right w:val="thickThinSmallGap" w:sz="24" w:space="0" w:color="auto"/>
          </w:tcBorders>
          <w:shd w:val="clear" w:color="auto" w:fill="FFC000"/>
          <w:vAlign w:val="center"/>
        </w:tcPr>
        <w:p w:rsidR="00817215" w:rsidRPr="00695AAC" w:rsidRDefault="00817215" w:rsidP="00AA4B8C">
          <w:pPr>
            <w:pStyle w:val="En-tte"/>
            <w:jc w:val="center"/>
            <w:rPr>
              <w:rFonts w:ascii="Bookman Old Style" w:hAnsi="Bookman Old Style"/>
              <w:b/>
              <w:sz w:val="20"/>
              <w:szCs w:val="20"/>
              <w:lang w:val="fr-FR"/>
            </w:rPr>
          </w:pPr>
          <w:r w:rsidRPr="00695AAC">
            <w:rPr>
              <w:rFonts w:ascii="Bookman Old Style" w:hAnsi="Bookman Old Style"/>
              <w:b/>
              <w:sz w:val="20"/>
              <w:szCs w:val="20"/>
              <w:lang w:val="fr-FR"/>
            </w:rPr>
            <w:t>OBSERVATIONS</w:t>
          </w:r>
        </w:p>
      </w:tc>
    </w:tr>
  </w:tbl>
  <w:p w:rsidR="00817215" w:rsidRPr="00817215" w:rsidRDefault="00817215">
    <w:pPr>
      <w:pStyle w:val="En-tt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FA9"/>
    <w:multiLevelType w:val="hybridMultilevel"/>
    <w:tmpl w:val="306C2DCE"/>
    <w:lvl w:ilvl="0" w:tplc="7CA65A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DF6"/>
    <w:multiLevelType w:val="multilevel"/>
    <w:tmpl w:val="0524781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746AE7"/>
    <w:multiLevelType w:val="multilevel"/>
    <w:tmpl w:val="49A6B946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19"/>
      </w:rPr>
    </w:lvl>
    <w:lvl w:ilvl="2">
      <w:start w:val="1"/>
      <w:numFmt w:val="decimal"/>
      <w:isLgl/>
      <w:lvlText w:val="%1.%2.%3."/>
      <w:lvlJc w:val="left"/>
      <w:pPr>
        <w:ind w:left="1072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3032" w:hanging="180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  <w:sz w:val="19"/>
      </w:rPr>
    </w:lvl>
  </w:abstractNum>
  <w:abstractNum w:abstractNumId="3">
    <w:nsid w:val="6D43600F"/>
    <w:multiLevelType w:val="multilevel"/>
    <w:tmpl w:val="DB8E9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17215"/>
    <w:rsid w:val="00004FCB"/>
    <w:rsid w:val="000247A2"/>
    <w:rsid w:val="00033C4B"/>
    <w:rsid w:val="00046FB3"/>
    <w:rsid w:val="0005293D"/>
    <w:rsid w:val="000710AA"/>
    <w:rsid w:val="00072060"/>
    <w:rsid w:val="00080628"/>
    <w:rsid w:val="00082BD7"/>
    <w:rsid w:val="000B24F3"/>
    <w:rsid w:val="000C0FB4"/>
    <w:rsid w:val="00101BC5"/>
    <w:rsid w:val="0011058B"/>
    <w:rsid w:val="00175918"/>
    <w:rsid w:val="001F3EBC"/>
    <w:rsid w:val="0020087A"/>
    <w:rsid w:val="002201CD"/>
    <w:rsid w:val="00225C89"/>
    <w:rsid w:val="00230BDA"/>
    <w:rsid w:val="00245C8E"/>
    <w:rsid w:val="00296E60"/>
    <w:rsid w:val="002A511A"/>
    <w:rsid w:val="002B35FC"/>
    <w:rsid w:val="003249A8"/>
    <w:rsid w:val="00393A0B"/>
    <w:rsid w:val="003B07E9"/>
    <w:rsid w:val="003E666A"/>
    <w:rsid w:val="00421D9E"/>
    <w:rsid w:val="004241A2"/>
    <w:rsid w:val="00425305"/>
    <w:rsid w:val="00476956"/>
    <w:rsid w:val="004A3011"/>
    <w:rsid w:val="004C244E"/>
    <w:rsid w:val="004D3C04"/>
    <w:rsid w:val="004F2219"/>
    <w:rsid w:val="004F7B01"/>
    <w:rsid w:val="005038C7"/>
    <w:rsid w:val="00530D0F"/>
    <w:rsid w:val="00591091"/>
    <w:rsid w:val="00593AAB"/>
    <w:rsid w:val="00612FEA"/>
    <w:rsid w:val="00613B16"/>
    <w:rsid w:val="00627AF6"/>
    <w:rsid w:val="006345B0"/>
    <w:rsid w:val="006522D3"/>
    <w:rsid w:val="00663052"/>
    <w:rsid w:val="00694CB6"/>
    <w:rsid w:val="00695AAC"/>
    <w:rsid w:val="006A781A"/>
    <w:rsid w:val="006E6C8A"/>
    <w:rsid w:val="00702D91"/>
    <w:rsid w:val="00802F18"/>
    <w:rsid w:val="00817215"/>
    <w:rsid w:val="00817734"/>
    <w:rsid w:val="00822D5C"/>
    <w:rsid w:val="0084580C"/>
    <w:rsid w:val="008514BB"/>
    <w:rsid w:val="00873A78"/>
    <w:rsid w:val="008940C5"/>
    <w:rsid w:val="008A0E1E"/>
    <w:rsid w:val="008D2476"/>
    <w:rsid w:val="0090004F"/>
    <w:rsid w:val="0097477F"/>
    <w:rsid w:val="009846FF"/>
    <w:rsid w:val="009B686A"/>
    <w:rsid w:val="009E7521"/>
    <w:rsid w:val="00A02384"/>
    <w:rsid w:val="00A02CA7"/>
    <w:rsid w:val="00A12DD8"/>
    <w:rsid w:val="00A17B08"/>
    <w:rsid w:val="00A3116E"/>
    <w:rsid w:val="00A9563F"/>
    <w:rsid w:val="00AE1927"/>
    <w:rsid w:val="00AE3141"/>
    <w:rsid w:val="00AE7ECB"/>
    <w:rsid w:val="00B01D31"/>
    <w:rsid w:val="00B155A5"/>
    <w:rsid w:val="00B52961"/>
    <w:rsid w:val="00B605A4"/>
    <w:rsid w:val="00B65CD9"/>
    <w:rsid w:val="00BA087C"/>
    <w:rsid w:val="00BB47CB"/>
    <w:rsid w:val="00BC75A4"/>
    <w:rsid w:val="00C057E9"/>
    <w:rsid w:val="00C1783A"/>
    <w:rsid w:val="00C3161E"/>
    <w:rsid w:val="00C35648"/>
    <w:rsid w:val="00C44EC7"/>
    <w:rsid w:val="00C90F12"/>
    <w:rsid w:val="00CC5064"/>
    <w:rsid w:val="00CD6DA1"/>
    <w:rsid w:val="00D2186C"/>
    <w:rsid w:val="00D31A13"/>
    <w:rsid w:val="00D52BED"/>
    <w:rsid w:val="00D65ED3"/>
    <w:rsid w:val="00DC6148"/>
    <w:rsid w:val="00E04E9F"/>
    <w:rsid w:val="00E47901"/>
    <w:rsid w:val="00E8028D"/>
    <w:rsid w:val="00E83A96"/>
    <w:rsid w:val="00EC063B"/>
    <w:rsid w:val="00ED568D"/>
    <w:rsid w:val="00F0754F"/>
    <w:rsid w:val="00F27AC9"/>
    <w:rsid w:val="00F56297"/>
    <w:rsid w:val="00F63D62"/>
    <w:rsid w:val="00F67708"/>
    <w:rsid w:val="00F92466"/>
    <w:rsid w:val="00FA04BB"/>
    <w:rsid w:val="00FA5391"/>
    <w:rsid w:val="00FA6140"/>
    <w:rsid w:val="00FC3CA2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7215"/>
  </w:style>
  <w:style w:type="paragraph" w:styleId="Pieddepage">
    <w:name w:val="footer"/>
    <w:basedOn w:val="Normal"/>
    <w:link w:val="PieddepageCar"/>
    <w:uiPriority w:val="99"/>
    <w:semiHidden/>
    <w:unhideWhenUsed/>
    <w:rsid w:val="008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7215"/>
  </w:style>
  <w:style w:type="table" w:styleId="Grilledutableau">
    <w:name w:val="Table Grid"/>
    <w:basedOn w:val="TableauNormal"/>
    <w:uiPriority w:val="59"/>
    <w:rsid w:val="008172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7521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C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5E4E-F3C1-489E-8435-AA567062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1456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</dc:creator>
  <cp:lastModifiedBy>pc</cp:lastModifiedBy>
  <cp:revision>10</cp:revision>
  <cp:lastPrinted>2016-06-17T08:54:00Z</cp:lastPrinted>
  <dcterms:created xsi:type="dcterms:W3CDTF">2016-11-23T12:00:00Z</dcterms:created>
  <dcterms:modified xsi:type="dcterms:W3CDTF">2016-12-19T15:44:00Z</dcterms:modified>
</cp:coreProperties>
</file>