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tblGrid>
      <w:tr w:rsidR="00A27BE6" w14:paraId="20F9CFAB" w14:textId="77777777" w:rsidTr="00A27BE6">
        <w:trPr>
          <w:trHeight w:val="1696"/>
        </w:trPr>
        <w:tc>
          <w:tcPr>
            <w:tcW w:w="2211" w:type="dxa"/>
          </w:tcPr>
          <w:p w14:paraId="20A2CF5C" w14:textId="5D479F92" w:rsidR="007B5864" w:rsidRDefault="007B5864" w:rsidP="007B5864">
            <w:bookmarkStart w:id="0" w:name="_Hlk133574989"/>
            <w:r w:rsidRPr="007B5864">
              <w:rPr>
                <w:rFonts w:ascii="Cambria" w:eastAsia="Microsoft JhengHei Light" w:hAnsi="Cambria" w:cs="Arial"/>
                <w:color w:val="000000" w:themeColor="text1"/>
                <w:sz w:val="26"/>
                <w:szCs w:val="26"/>
              </w:rPr>
              <w:t xml:space="preserve"> </w:t>
            </w:r>
            <w:r>
              <w:rPr>
                <w:rFonts w:ascii="Cambria" w:eastAsia="Microsoft JhengHei Light" w:hAnsi="Cambria" w:cs="Arial"/>
                <w:color w:val="000000" w:themeColor="text1"/>
                <w:sz w:val="26"/>
                <w:szCs w:val="26"/>
              </w:rPr>
              <w:t xml:space="preserve">                                 </w:t>
            </w:r>
            <w:r>
              <w:rPr>
                <w:noProof/>
              </w:rPr>
              <w:drawing>
                <wp:anchor distT="0" distB="0" distL="114300" distR="114300" simplePos="0" relativeHeight="251659264" behindDoc="0" locked="0" layoutInCell="1" allowOverlap="1" wp14:anchorId="37E427FF" wp14:editId="53F7C88A">
                  <wp:simplePos x="0" y="0"/>
                  <wp:positionH relativeFrom="margin">
                    <wp:posOffset>45720</wp:posOffset>
                  </wp:positionH>
                  <wp:positionV relativeFrom="paragraph">
                    <wp:posOffset>4445</wp:posOffset>
                  </wp:positionV>
                  <wp:extent cx="1228725" cy="1457325"/>
                  <wp:effectExtent l="0" t="0" r="0" b="9525"/>
                  <wp:wrapTopAndBottom/>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cstate="print">
                            <a:extLst>
                              <a:ext uri="{28A0092B-C50C-407E-A947-70E740481C1C}">
                                <a14:useLocalDpi xmlns:a14="http://schemas.microsoft.com/office/drawing/2010/main" val="0"/>
                              </a:ext>
                            </a:extLst>
                          </a:blip>
                          <a:srcRect b="11942"/>
                          <a:stretch/>
                        </pic:blipFill>
                        <pic:spPr bwMode="auto">
                          <a:xfrm>
                            <a:off x="0" y="0"/>
                            <a:ext cx="1228725"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5D37C04" w14:textId="09314787" w:rsidR="00A27BE6" w:rsidRPr="00916DED" w:rsidRDefault="00A27BE6" w:rsidP="00A27BE6">
      <w:r>
        <w:rPr>
          <w:rFonts w:ascii="Cambria" w:eastAsia="Microsoft JhengHei Light" w:hAnsi="Cambria" w:cs="Arial"/>
          <w:color w:val="000000" w:themeColor="text1"/>
          <w:sz w:val="26"/>
          <w:szCs w:val="26"/>
        </w:rPr>
        <w:t xml:space="preserve">                                           </w:t>
      </w:r>
      <w:r w:rsidR="007B5864">
        <w:rPr>
          <w:rFonts w:ascii="Cambria" w:eastAsia="Microsoft JhengHei Light" w:hAnsi="Cambria" w:cs="Arial"/>
          <w:color w:val="000000" w:themeColor="text1"/>
          <w:sz w:val="26"/>
          <w:szCs w:val="26"/>
        </w:rPr>
        <w:t xml:space="preserve"> </w:t>
      </w:r>
      <w:bookmarkStart w:id="1" w:name="_Hlk132710815"/>
      <w:r>
        <w:rPr>
          <w:rFonts w:ascii="Cambria" w:eastAsia="Microsoft JhengHei Light" w:hAnsi="Cambria" w:cs="Arial"/>
          <w:color w:val="000000" w:themeColor="text1"/>
          <w:sz w:val="26"/>
          <w:szCs w:val="26"/>
        </w:rPr>
        <w:t>Min</w:t>
      </w:r>
      <w:r w:rsidRPr="00367AA0">
        <w:rPr>
          <w:rFonts w:ascii="Cambria" w:eastAsia="Microsoft JhengHei Light" w:hAnsi="Cambria" w:cs="Arial"/>
          <w:color w:val="000000" w:themeColor="text1"/>
          <w:sz w:val="26"/>
          <w:szCs w:val="26"/>
        </w:rPr>
        <w:t xml:space="preserve">istère du Commerce, de l’Industrie  </w:t>
      </w:r>
    </w:p>
    <w:p w14:paraId="5D496F7B" w14:textId="69C3A94A" w:rsidR="00A27BE6" w:rsidRPr="00367AA0" w:rsidRDefault="00A27BE6" w:rsidP="00A27BE6">
      <w:pPr>
        <w:jc w:val="center"/>
        <w:rPr>
          <w:rFonts w:ascii="Cambria" w:eastAsia="Microsoft JhengHei Light" w:hAnsi="Cambria" w:cs="Arial"/>
          <w:color w:val="000000" w:themeColor="text1"/>
          <w:sz w:val="26"/>
          <w:szCs w:val="26"/>
        </w:rPr>
      </w:pPr>
      <w:r>
        <w:rPr>
          <w:rFonts w:ascii="Cambria" w:eastAsia="Microsoft JhengHei Light" w:hAnsi="Cambria" w:cs="Arial"/>
          <w:color w:val="000000" w:themeColor="text1"/>
          <w:sz w:val="26"/>
          <w:szCs w:val="26"/>
        </w:rPr>
        <w:t xml:space="preserve">  </w:t>
      </w:r>
      <w:proofErr w:type="gramStart"/>
      <w:r w:rsidRPr="00367AA0">
        <w:rPr>
          <w:rFonts w:ascii="Cambria" w:eastAsia="Microsoft JhengHei Light" w:hAnsi="Cambria" w:cs="Arial"/>
          <w:color w:val="000000" w:themeColor="text1"/>
          <w:sz w:val="26"/>
          <w:szCs w:val="26"/>
        </w:rPr>
        <w:t>et</w:t>
      </w:r>
      <w:proofErr w:type="gramEnd"/>
      <w:r w:rsidRPr="00367AA0">
        <w:rPr>
          <w:rFonts w:ascii="Cambria" w:eastAsia="Microsoft JhengHei Light" w:hAnsi="Cambria" w:cs="Arial"/>
          <w:color w:val="000000" w:themeColor="text1"/>
          <w:sz w:val="26"/>
          <w:szCs w:val="26"/>
        </w:rPr>
        <w:t xml:space="preserve"> de la Consommation Locale</w:t>
      </w:r>
    </w:p>
    <w:bookmarkEnd w:id="1"/>
    <w:p w14:paraId="39410ABC" w14:textId="6546AD34" w:rsidR="007B5864" w:rsidRPr="00367AA0" w:rsidRDefault="007B5864" w:rsidP="007B5864">
      <w:pPr>
        <w:rPr>
          <w:rFonts w:ascii="Cambria" w:eastAsia="Microsoft JhengHei Light" w:hAnsi="Cambria" w:cs="Arial"/>
          <w:color w:val="000000" w:themeColor="text1"/>
          <w:sz w:val="26"/>
          <w:szCs w:val="26"/>
        </w:rPr>
      </w:pPr>
    </w:p>
    <w:p w14:paraId="6B700028" w14:textId="0F459662" w:rsidR="007B5864" w:rsidRDefault="007B5864" w:rsidP="007B5864">
      <w:pPr>
        <w:tabs>
          <w:tab w:val="left" w:pos="3060"/>
        </w:tabs>
        <w:jc w:val="center"/>
        <w:rPr>
          <w:rFonts w:ascii="Cambria" w:hAnsi="Cambria"/>
          <w:b/>
        </w:rPr>
      </w:pPr>
    </w:p>
    <w:p w14:paraId="3BEFE8EE" w14:textId="4A13C988" w:rsidR="007B5864" w:rsidRPr="00367AA0" w:rsidRDefault="007B5864" w:rsidP="007B5864">
      <w:pPr>
        <w:tabs>
          <w:tab w:val="left" w:pos="3060"/>
        </w:tabs>
        <w:rPr>
          <w:rFonts w:ascii="Cambria" w:hAnsi="Cambria"/>
          <w:b/>
        </w:rPr>
      </w:pPr>
      <w:r>
        <w:rPr>
          <w:rFonts w:ascii="Cambria" w:hAnsi="Cambria"/>
          <w:b/>
        </w:rPr>
        <w:t xml:space="preserve">          </w:t>
      </w:r>
      <w:r w:rsidRPr="00367AA0">
        <w:rPr>
          <w:rFonts w:ascii="Cambria" w:hAnsi="Cambria"/>
          <w:b/>
        </w:rPr>
        <w:t>SECRETARIAT GENERAL</w:t>
      </w:r>
    </w:p>
    <w:p w14:paraId="7DC7C75A" w14:textId="77777777" w:rsidR="007B5864" w:rsidRPr="00367AA0" w:rsidRDefault="007B5864" w:rsidP="007B5864">
      <w:pPr>
        <w:tabs>
          <w:tab w:val="left" w:pos="3060"/>
        </w:tabs>
        <w:rPr>
          <w:rFonts w:ascii="Cambria" w:hAnsi="Cambria"/>
          <w:b/>
        </w:rPr>
      </w:pPr>
      <w:r w:rsidRPr="00367AA0">
        <w:rPr>
          <w:rFonts w:ascii="Cambria" w:hAnsi="Cambria"/>
          <w:b/>
        </w:rPr>
        <w:t xml:space="preserve">                  </w:t>
      </w:r>
      <w:r>
        <w:rPr>
          <w:rFonts w:ascii="Cambria" w:hAnsi="Cambria"/>
          <w:b/>
        </w:rPr>
        <w:t xml:space="preserve">  </w:t>
      </w:r>
      <w:r w:rsidRPr="00367AA0">
        <w:rPr>
          <w:rFonts w:ascii="Cambria" w:hAnsi="Cambria"/>
          <w:b/>
        </w:rPr>
        <w:t xml:space="preserve">  …………………..</w:t>
      </w:r>
    </w:p>
    <w:p w14:paraId="7437C02D" w14:textId="77777777" w:rsidR="007B5864" w:rsidRPr="00367AA0" w:rsidRDefault="007B5864" w:rsidP="007B5864">
      <w:pPr>
        <w:tabs>
          <w:tab w:val="left" w:pos="3060"/>
        </w:tabs>
        <w:rPr>
          <w:rFonts w:ascii="Cambria" w:hAnsi="Cambria"/>
          <w:b/>
        </w:rPr>
      </w:pPr>
      <w:r>
        <w:rPr>
          <w:rFonts w:ascii="Cambria" w:hAnsi="Cambria"/>
          <w:b/>
        </w:rPr>
        <w:t>HAUTE AUTORITE DE LA QUALITE</w:t>
      </w:r>
    </w:p>
    <w:p w14:paraId="19D4818D" w14:textId="77777777" w:rsidR="007B5864" w:rsidRPr="00367AA0" w:rsidRDefault="007B5864" w:rsidP="007B5864">
      <w:pPr>
        <w:tabs>
          <w:tab w:val="left" w:pos="3060"/>
        </w:tabs>
        <w:rPr>
          <w:rFonts w:ascii="Cambria" w:hAnsi="Cambria"/>
          <w:b/>
        </w:rPr>
      </w:pPr>
      <w:r>
        <w:rPr>
          <w:rFonts w:ascii="Cambria" w:hAnsi="Cambria"/>
          <w:b/>
        </w:rPr>
        <w:t xml:space="preserve">        ET DE L’ENVIRONNEMENT</w:t>
      </w:r>
    </w:p>
    <w:p w14:paraId="087AB3CD" w14:textId="77777777" w:rsidR="007B5864" w:rsidRPr="00916DED" w:rsidRDefault="007B5864" w:rsidP="007B5864">
      <w:pPr>
        <w:tabs>
          <w:tab w:val="left" w:pos="3060"/>
        </w:tabs>
        <w:rPr>
          <w:rFonts w:ascii="Cambria" w:hAnsi="Cambria"/>
          <w:b/>
        </w:rPr>
      </w:pPr>
      <w:r>
        <w:rPr>
          <w:rFonts w:ascii="Cambria" w:hAnsi="Cambria"/>
          <w:b/>
        </w:rPr>
        <w:t xml:space="preserve">                        </w:t>
      </w:r>
      <w:r w:rsidRPr="00367AA0">
        <w:rPr>
          <w:rFonts w:ascii="Cambria" w:hAnsi="Cambria"/>
          <w:b/>
        </w:rPr>
        <w:t xml:space="preserve"> ………………</w:t>
      </w:r>
    </w:p>
    <w:p w14:paraId="66506E13" w14:textId="77777777" w:rsidR="007B5864" w:rsidRPr="006A1923" w:rsidRDefault="007B5864" w:rsidP="007B5864">
      <w:pPr>
        <w:rPr>
          <w:rFonts w:ascii="Cambria" w:eastAsia="Microsoft JhengHei Light" w:hAnsi="Cambria"/>
        </w:rPr>
      </w:pPr>
    </w:p>
    <w:p w14:paraId="1C73D734" w14:textId="739C7A37" w:rsidR="007B5864" w:rsidRPr="00156DD0" w:rsidRDefault="007B5864" w:rsidP="00156DD0">
      <w:pPr>
        <w:jc w:val="center"/>
        <w:rPr>
          <w:b/>
          <w:sz w:val="32"/>
          <w:szCs w:val="32"/>
          <w:u w:val="single"/>
        </w:rPr>
      </w:pPr>
      <w:bookmarkStart w:id="2" w:name="_Toc77493061"/>
      <w:bookmarkStart w:id="3" w:name="_Toc77392477"/>
      <w:r w:rsidRPr="00156DD0">
        <w:rPr>
          <w:b/>
          <w:sz w:val="32"/>
          <w:szCs w:val="32"/>
          <w:u w:val="single"/>
        </w:rPr>
        <w:t>Avis d’Appel d’Offres Ouvert (AAOO)</w:t>
      </w:r>
      <w:bookmarkEnd w:id="2"/>
      <w:bookmarkEnd w:id="3"/>
    </w:p>
    <w:p w14:paraId="550979B4" w14:textId="77777777" w:rsidR="00156DD0" w:rsidRPr="00156DD0" w:rsidRDefault="00156DD0" w:rsidP="00156DD0">
      <w:pPr>
        <w:jc w:val="center"/>
        <w:rPr>
          <w:b/>
          <w:sz w:val="32"/>
          <w:szCs w:val="32"/>
        </w:rPr>
      </w:pPr>
    </w:p>
    <w:p w14:paraId="2313A7C1" w14:textId="2D7FE518" w:rsidR="007B5864" w:rsidRPr="00C86A44" w:rsidRDefault="007B5864" w:rsidP="007B5864">
      <w:pPr>
        <w:jc w:val="both"/>
        <w:rPr>
          <w:i/>
          <w:iCs/>
          <w:sz w:val="28"/>
          <w:szCs w:val="40"/>
        </w:rPr>
      </w:pPr>
      <w:r>
        <w:rPr>
          <w:i/>
          <w:iCs/>
          <w:sz w:val="28"/>
          <w:szCs w:val="40"/>
        </w:rPr>
        <w:t xml:space="preserve">         </w:t>
      </w:r>
      <w:r w:rsidR="00A27BE6">
        <w:rPr>
          <w:i/>
          <w:iCs/>
          <w:sz w:val="28"/>
          <w:szCs w:val="40"/>
        </w:rPr>
        <w:t xml:space="preserve">      </w:t>
      </w:r>
      <w:r w:rsidR="00156DD0">
        <w:rPr>
          <w:i/>
          <w:iCs/>
          <w:sz w:val="28"/>
          <w:szCs w:val="40"/>
        </w:rPr>
        <w:t xml:space="preserve">        </w:t>
      </w:r>
      <w:r w:rsidR="00A27BE6">
        <w:rPr>
          <w:i/>
          <w:iCs/>
          <w:sz w:val="28"/>
          <w:szCs w:val="40"/>
        </w:rPr>
        <w:t xml:space="preserve">  </w:t>
      </w:r>
      <w:r>
        <w:rPr>
          <w:i/>
          <w:iCs/>
          <w:sz w:val="28"/>
          <w:szCs w:val="40"/>
        </w:rPr>
        <w:t xml:space="preserve"> </w:t>
      </w:r>
      <w:r w:rsidRPr="00C86A44">
        <w:rPr>
          <w:i/>
          <w:iCs/>
          <w:sz w:val="28"/>
          <w:szCs w:val="40"/>
        </w:rPr>
        <w:t>AAOO N°</w:t>
      </w:r>
      <w:r w:rsidR="00796822">
        <w:rPr>
          <w:i/>
          <w:iCs/>
          <w:sz w:val="28"/>
          <w:szCs w:val="40"/>
        </w:rPr>
        <w:t>003</w:t>
      </w:r>
      <w:r w:rsidR="00A27BE6">
        <w:rPr>
          <w:i/>
          <w:iCs/>
          <w:sz w:val="28"/>
          <w:szCs w:val="40"/>
        </w:rPr>
        <w:t xml:space="preserve"> </w:t>
      </w:r>
      <w:r>
        <w:rPr>
          <w:i/>
          <w:iCs/>
          <w:sz w:val="28"/>
          <w:szCs w:val="40"/>
        </w:rPr>
        <w:t>/2023</w:t>
      </w:r>
      <w:r w:rsidRPr="00C86A44">
        <w:rPr>
          <w:i/>
          <w:iCs/>
          <w:sz w:val="28"/>
          <w:szCs w:val="40"/>
        </w:rPr>
        <w:t>/MCICL /PRMP</w:t>
      </w:r>
      <w:r>
        <w:rPr>
          <w:i/>
          <w:iCs/>
          <w:sz w:val="28"/>
          <w:szCs w:val="40"/>
        </w:rPr>
        <w:t>/HAUQE</w:t>
      </w:r>
      <w:r w:rsidR="003C73A4">
        <w:rPr>
          <w:i/>
          <w:iCs/>
          <w:sz w:val="28"/>
          <w:szCs w:val="40"/>
        </w:rPr>
        <w:t xml:space="preserve"> du 05 mai 2023</w:t>
      </w:r>
    </w:p>
    <w:p w14:paraId="441763FD" w14:textId="77777777" w:rsidR="007B5864" w:rsidRPr="00C86A44" w:rsidRDefault="007B5864" w:rsidP="007B5864">
      <w:pPr>
        <w:jc w:val="both"/>
        <w:rPr>
          <w:i/>
          <w:iCs/>
          <w:sz w:val="16"/>
          <w:szCs w:val="40"/>
        </w:rPr>
      </w:pPr>
    </w:p>
    <w:p w14:paraId="5063C8AF" w14:textId="77777777" w:rsidR="007B5864" w:rsidRPr="00E64AE4" w:rsidRDefault="007B5864" w:rsidP="007B5864">
      <w:pPr>
        <w:pStyle w:val="BankNormal"/>
        <w:numPr>
          <w:ilvl w:val="0"/>
          <w:numId w:val="3"/>
        </w:numPr>
        <w:spacing w:after="0"/>
        <w:jc w:val="both"/>
        <w:rPr>
          <w:b/>
          <w:i/>
          <w:iCs/>
          <w:sz w:val="28"/>
          <w:szCs w:val="28"/>
          <w:lang w:val="fr-FR"/>
        </w:rPr>
      </w:pPr>
      <w:r w:rsidRPr="00E64AE4">
        <w:rPr>
          <w:sz w:val="28"/>
          <w:szCs w:val="28"/>
          <w:lang w:val="fr-FR"/>
        </w:rPr>
        <w:t xml:space="preserve">Le </w:t>
      </w:r>
      <w:r w:rsidRPr="00E64AE4">
        <w:rPr>
          <w:b/>
          <w:i/>
          <w:iCs/>
          <w:sz w:val="28"/>
          <w:szCs w:val="28"/>
          <w:lang w:val="fr-FR"/>
        </w:rPr>
        <w:t xml:space="preserve">Ministère du Commerce, de l’Industrie et de la Consommation Locale (MCICL) </w:t>
      </w:r>
      <w:r w:rsidRPr="00E64AE4">
        <w:rPr>
          <w:i/>
          <w:iCs/>
          <w:sz w:val="28"/>
          <w:szCs w:val="28"/>
          <w:lang w:val="fr-FR"/>
        </w:rPr>
        <w:t>dispose des fonds du budget d’investissement de l’Etat, Gestion 202</w:t>
      </w:r>
      <w:r>
        <w:rPr>
          <w:i/>
          <w:iCs/>
          <w:sz w:val="28"/>
          <w:szCs w:val="28"/>
          <w:lang w:val="fr-FR"/>
        </w:rPr>
        <w:t>3</w:t>
      </w:r>
      <w:r w:rsidRPr="00E64AE4">
        <w:rPr>
          <w:i/>
          <w:iCs/>
          <w:sz w:val="28"/>
          <w:szCs w:val="28"/>
          <w:lang w:val="fr-FR"/>
        </w:rPr>
        <w:t xml:space="preserve"> </w:t>
      </w:r>
      <w:r w:rsidRPr="00E64AE4">
        <w:rPr>
          <w:sz w:val="28"/>
          <w:szCs w:val="28"/>
          <w:lang w:val="fr-FR"/>
        </w:rPr>
        <w:t xml:space="preserve">afin de financer </w:t>
      </w:r>
      <w:r>
        <w:rPr>
          <w:i/>
          <w:iCs/>
          <w:sz w:val="28"/>
          <w:szCs w:val="28"/>
          <w:lang w:val="fr-FR"/>
        </w:rPr>
        <w:t xml:space="preserve">l’achat des bascules électroniques </w:t>
      </w:r>
      <w:r w:rsidRPr="00E64AE4">
        <w:rPr>
          <w:iCs/>
          <w:sz w:val="28"/>
          <w:szCs w:val="28"/>
          <w:lang w:val="fr-FR"/>
        </w:rPr>
        <w:t>et à</w:t>
      </w:r>
      <w:r w:rsidRPr="00E64AE4">
        <w:rPr>
          <w:sz w:val="28"/>
          <w:szCs w:val="28"/>
          <w:lang w:val="fr-FR"/>
        </w:rPr>
        <w:t xml:space="preserve"> l’intention d’utiliser ces fonds pour effectuer des paiements au titre du présent Marché</w:t>
      </w:r>
      <w:r w:rsidRPr="00E64AE4">
        <w:rPr>
          <w:i/>
          <w:iCs/>
          <w:sz w:val="28"/>
          <w:szCs w:val="28"/>
          <w:lang w:val="fr-FR"/>
        </w:rPr>
        <w:t>.</w:t>
      </w:r>
    </w:p>
    <w:p w14:paraId="1F16D15F" w14:textId="77777777" w:rsidR="007B5864" w:rsidRPr="00E64AE4" w:rsidRDefault="007B5864" w:rsidP="007B5864">
      <w:pPr>
        <w:pStyle w:val="BankNormal"/>
        <w:spacing w:after="0"/>
        <w:ind w:left="720"/>
        <w:jc w:val="both"/>
        <w:rPr>
          <w:b/>
          <w:i/>
          <w:iCs/>
          <w:sz w:val="18"/>
          <w:szCs w:val="18"/>
          <w:lang w:val="fr-FR"/>
        </w:rPr>
      </w:pPr>
    </w:p>
    <w:p w14:paraId="496ADD49" w14:textId="1EA31FB7" w:rsidR="007B5864" w:rsidRPr="00E64AE4" w:rsidRDefault="007B5864" w:rsidP="007B5864">
      <w:pPr>
        <w:pStyle w:val="BankNormal"/>
        <w:numPr>
          <w:ilvl w:val="0"/>
          <w:numId w:val="3"/>
        </w:numPr>
        <w:jc w:val="both"/>
        <w:rPr>
          <w:sz w:val="28"/>
          <w:szCs w:val="28"/>
          <w:lang w:val="fr-FR"/>
        </w:rPr>
      </w:pPr>
      <w:r w:rsidRPr="00E64AE4">
        <w:rPr>
          <w:sz w:val="28"/>
          <w:szCs w:val="28"/>
          <w:lang w:val="fr-FR"/>
        </w:rPr>
        <w:t>Le MCICL sollicite des offres fermées de la part de candidats éligibles et répondant aux qualification</w:t>
      </w:r>
      <w:r>
        <w:rPr>
          <w:sz w:val="28"/>
          <w:szCs w:val="28"/>
          <w:lang w:val="fr-FR"/>
        </w:rPr>
        <w:t>s requises pour l</w:t>
      </w:r>
      <w:r w:rsidR="00BB4772">
        <w:rPr>
          <w:sz w:val="28"/>
          <w:szCs w:val="28"/>
          <w:lang w:val="fr-FR"/>
        </w:rPr>
        <w:t>’acquisition d’outillages techniques (</w:t>
      </w:r>
      <w:r>
        <w:rPr>
          <w:sz w:val="28"/>
          <w:szCs w:val="28"/>
          <w:lang w:val="fr-FR"/>
        </w:rPr>
        <w:t>bascules électroniques</w:t>
      </w:r>
      <w:r w:rsidR="00BB4772">
        <w:rPr>
          <w:sz w:val="28"/>
          <w:szCs w:val="28"/>
          <w:lang w:val="fr-FR"/>
        </w:rPr>
        <w:t>)</w:t>
      </w:r>
      <w:r>
        <w:rPr>
          <w:sz w:val="28"/>
          <w:szCs w:val="28"/>
          <w:lang w:val="fr-FR"/>
        </w:rPr>
        <w:t xml:space="preserve"> en lot UNIQUE.</w:t>
      </w:r>
    </w:p>
    <w:p w14:paraId="6ABF8014" w14:textId="564CF351" w:rsidR="007B5864" w:rsidRPr="00BB4772" w:rsidRDefault="00A5741C" w:rsidP="00BB4772">
      <w:pPr>
        <w:pStyle w:val="Paragraphedeliste"/>
        <w:numPr>
          <w:ilvl w:val="0"/>
          <w:numId w:val="2"/>
        </w:numPr>
        <w:jc w:val="both"/>
        <w:rPr>
          <w:b/>
          <w:i/>
          <w:sz w:val="16"/>
          <w:szCs w:val="16"/>
        </w:rPr>
      </w:pPr>
      <w:r w:rsidRPr="00BB4772">
        <w:rPr>
          <w:b/>
          <w:i/>
          <w:sz w:val="28"/>
          <w:szCs w:val="28"/>
        </w:rPr>
        <w:t>Acquisition d’outillages Techniques</w:t>
      </w:r>
      <w:r w:rsidR="007B5864" w:rsidRPr="00BB4772">
        <w:rPr>
          <w:b/>
          <w:i/>
          <w:sz w:val="28"/>
          <w:szCs w:val="28"/>
        </w:rPr>
        <w:t xml:space="preserve"> </w:t>
      </w:r>
      <w:r w:rsidRPr="00BB4772">
        <w:rPr>
          <w:b/>
          <w:i/>
          <w:sz w:val="28"/>
          <w:szCs w:val="28"/>
        </w:rPr>
        <w:t>(</w:t>
      </w:r>
      <w:r w:rsidR="007B5864" w:rsidRPr="00BB4772">
        <w:rPr>
          <w:b/>
          <w:i/>
          <w:sz w:val="28"/>
          <w:szCs w:val="28"/>
        </w:rPr>
        <w:t>bascules électroniques</w:t>
      </w:r>
      <w:r w:rsidRPr="00BB4772">
        <w:rPr>
          <w:b/>
          <w:i/>
          <w:sz w:val="28"/>
          <w:szCs w:val="28"/>
        </w:rPr>
        <w:t>)</w:t>
      </w:r>
      <w:r w:rsidR="007B5864" w:rsidRPr="00BB4772">
        <w:rPr>
          <w:b/>
          <w:i/>
          <w:sz w:val="28"/>
          <w:szCs w:val="28"/>
        </w:rPr>
        <w:t xml:space="preserve"> </w:t>
      </w:r>
    </w:p>
    <w:p w14:paraId="001FE1BB" w14:textId="0C9BBF08" w:rsidR="007B5864" w:rsidRPr="00BB4772" w:rsidRDefault="007B5864" w:rsidP="007B5864">
      <w:pPr>
        <w:pStyle w:val="Paragraphedeliste"/>
        <w:numPr>
          <w:ilvl w:val="0"/>
          <w:numId w:val="2"/>
        </w:numPr>
        <w:jc w:val="both"/>
        <w:rPr>
          <w:b/>
          <w:i/>
          <w:sz w:val="28"/>
          <w:szCs w:val="28"/>
        </w:rPr>
      </w:pPr>
      <w:r w:rsidRPr="00BB4772">
        <w:rPr>
          <w:b/>
          <w:i/>
          <w:sz w:val="28"/>
          <w:szCs w:val="28"/>
        </w:rPr>
        <w:t xml:space="preserve">Le délai effectif de livraison des bascules électroniques et accessoires est de trois (03) mois </w:t>
      </w:r>
    </w:p>
    <w:p w14:paraId="622362DA" w14:textId="77777777" w:rsidR="007B5864" w:rsidRPr="00E64AE4" w:rsidRDefault="007B5864" w:rsidP="007B5864">
      <w:pPr>
        <w:jc w:val="both"/>
        <w:rPr>
          <w:b/>
          <w:i/>
          <w:sz w:val="16"/>
          <w:szCs w:val="16"/>
        </w:rPr>
      </w:pPr>
    </w:p>
    <w:p w14:paraId="02942D93" w14:textId="77777777" w:rsidR="007B5864" w:rsidRPr="00E64AE4" w:rsidRDefault="007B5864" w:rsidP="007B5864">
      <w:pPr>
        <w:ind w:left="1080"/>
        <w:jc w:val="both"/>
        <w:rPr>
          <w:b/>
          <w:i/>
          <w:sz w:val="28"/>
          <w:szCs w:val="28"/>
        </w:rPr>
      </w:pPr>
      <w:r w:rsidRPr="00E64AE4">
        <w:rPr>
          <w:b/>
          <w:i/>
          <w:sz w:val="28"/>
          <w:szCs w:val="28"/>
        </w:rPr>
        <w:t>Aucune variante n’est autorisée.</w:t>
      </w:r>
    </w:p>
    <w:p w14:paraId="09A5233E" w14:textId="77777777" w:rsidR="007B5864" w:rsidRPr="00E64AE4" w:rsidRDefault="007B5864" w:rsidP="007B5864">
      <w:pPr>
        <w:ind w:left="1080"/>
        <w:jc w:val="both"/>
        <w:rPr>
          <w:b/>
          <w:i/>
          <w:sz w:val="16"/>
          <w:szCs w:val="16"/>
        </w:rPr>
      </w:pPr>
    </w:p>
    <w:p w14:paraId="1F45B5E7" w14:textId="77777777" w:rsidR="007B5864" w:rsidRPr="00E64AE4" w:rsidRDefault="007B5864" w:rsidP="007B5864">
      <w:pPr>
        <w:pStyle w:val="Paragraphedeliste"/>
        <w:numPr>
          <w:ilvl w:val="0"/>
          <w:numId w:val="3"/>
        </w:numPr>
        <w:jc w:val="both"/>
        <w:rPr>
          <w:b/>
          <w:i/>
          <w:sz w:val="28"/>
          <w:szCs w:val="28"/>
        </w:rPr>
      </w:pPr>
      <w:r w:rsidRPr="00E64AE4">
        <w:rPr>
          <w:sz w:val="28"/>
          <w:szCs w:val="28"/>
        </w:rPr>
        <w:t>La passation du Marché sera conduite par Appel d’offres ouvert tel que défini dans le Code des Marchés publics en vigueur et ses textes d’application</w:t>
      </w:r>
      <w:r w:rsidRPr="00E64AE4">
        <w:rPr>
          <w:i/>
          <w:iCs/>
          <w:sz w:val="28"/>
          <w:szCs w:val="28"/>
        </w:rPr>
        <w:t>,</w:t>
      </w:r>
      <w:r w:rsidRPr="00E64AE4">
        <w:rPr>
          <w:sz w:val="28"/>
          <w:szCs w:val="28"/>
        </w:rPr>
        <w:t xml:space="preserve"> et ouvert à tous les candidats éligibles.</w:t>
      </w:r>
    </w:p>
    <w:p w14:paraId="5060281D" w14:textId="77777777" w:rsidR="007B5864" w:rsidRPr="00E64AE4" w:rsidRDefault="007B5864" w:rsidP="007B5864">
      <w:pPr>
        <w:pStyle w:val="Paragraphedeliste"/>
        <w:jc w:val="both"/>
        <w:rPr>
          <w:b/>
          <w:i/>
          <w:sz w:val="16"/>
          <w:szCs w:val="16"/>
        </w:rPr>
      </w:pPr>
    </w:p>
    <w:p w14:paraId="13EFBCE3" w14:textId="77777777" w:rsidR="007B5864" w:rsidRPr="00E64AE4" w:rsidRDefault="007B5864" w:rsidP="007B5864">
      <w:pPr>
        <w:pStyle w:val="Paragraphedeliste"/>
        <w:numPr>
          <w:ilvl w:val="0"/>
          <w:numId w:val="3"/>
        </w:numPr>
        <w:jc w:val="both"/>
        <w:rPr>
          <w:b/>
          <w:i/>
          <w:sz w:val="28"/>
          <w:szCs w:val="28"/>
        </w:rPr>
      </w:pPr>
      <w:r w:rsidRPr="00E64AE4">
        <w:rPr>
          <w:sz w:val="28"/>
          <w:szCs w:val="28"/>
        </w:rPr>
        <w:t>Les candidats intéressés peuvent obtenir des informations et prendre connaissance des documents d’Appel d’offres au ministère du Commerce, de l’Industrie</w:t>
      </w:r>
      <w:r>
        <w:rPr>
          <w:sz w:val="28"/>
          <w:szCs w:val="28"/>
        </w:rPr>
        <w:t xml:space="preserve"> </w:t>
      </w:r>
      <w:r w:rsidRPr="00E64AE4">
        <w:rPr>
          <w:sz w:val="28"/>
          <w:szCs w:val="28"/>
        </w:rPr>
        <w:t>et de la Consommation Locale de</w:t>
      </w:r>
      <w:r>
        <w:rPr>
          <w:sz w:val="28"/>
          <w:szCs w:val="28"/>
        </w:rPr>
        <w:t xml:space="preserve"> </w:t>
      </w:r>
      <w:r w:rsidRPr="00E64AE4">
        <w:rPr>
          <w:sz w:val="28"/>
          <w:szCs w:val="28"/>
        </w:rPr>
        <w:t>9h00</w:t>
      </w:r>
      <w:r>
        <w:rPr>
          <w:sz w:val="28"/>
          <w:szCs w:val="28"/>
        </w:rPr>
        <w:t xml:space="preserve"> </w:t>
      </w:r>
      <w:r w:rsidRPr="00E64AE4">
        <w:rPr>
          <w:sz w:val="28"/>
          <w:szCs w:val="28"/>
        </w:rPr>
        <w:t>-</w:t>
      </w:r>
      <w:r>
        <w:rPr>
          <w:sz w:val="28"/>
          <w:szCs w:val="28"/>
        </w:rPr>
        <w:t xml:space="preserve"> </w:t>
      </w:r>
      <w:r w:rsidRPr="00E64AE4">
        <w:rPr>
          <w:sz w:val="28"/>
          <w:szCs w:val="28"/>
        </w:rPr>
        <w:t xml:space="preserve">16h00 au </w:t>
      </w:r>
      <w:r w:rsidRPr="00E64AE4">
        <w:rPr>
          <w:b/>
          <w:sz w:val="28"/>
          <w:szCs w:val="28"/>
        </w:rPr>
        <w:t xml:space="preserve">secrétariat de la Personne Responsable des Marchés Publics (PRMP) </w:t>
      </w:r>
      <w:r w:rsidRPr="00E64AE4">
        <w:rPr>
          <w:sz w:val="28"/>
          <w:szCs w:val="28"/>
        </w:rPr>
        <w:t>:</w:t>
      </w:r>
    </w:p>
    <w:p w14:paraId="6F2E1240" w14:textId="77777777" w:rsidR="007B5864" w:rsidRPr="00E64AE4" w:rsidRDefault="007B5864" w:rsidP="007B5864">
      <w:pPr>
        <w:pStyle w:val="Paragraphedeliste"/>
        <w:jc w:val="both"/>
        <w:rPr>
          <w:b/>
          <w:i/>
          <w:sz w:val="16"/>
          <w:szCs w:val="16"/>
        </w:rPr>
      </w:pPr>
    </w:p>
    <w:p w14:paraId="557F0D85" w14:textId="77777777" w:rsidR="007B5864" w:rsidRPr="00C44616" w:rsidRDefault="007B5864" w:rsidP="007B5864">
      <w:pPr>
        <w:ind w:left="720"/>
        <w:jc w:val="both"/>
        <w:rPr>
          <w:bCs/>
          <w:i/>
          <w:iCs/>
          <w:sz w:val="28"/>
          <w:szCs w:val="28"/>
        </w:rPr>
      </w:pPr>
      <w:r w:rsidRPr="00E64AE4">
        <w:rPr>
          <w:i/>
          <w:sz w:val="28"/>
          <w:szCs w:val="28"/>
        </w:rPr>
        <w:lastRenderedPageBreak/>
        <w:t>Ministère du Commerce, de l’Industrie et de la Consommation Locale (MCICL)</w:t>
      </w:r>
      <w:r>
        <w:rPr>
          <w:bCs/>
          <w:i/>
          <w:iCs/>
          <w:sz w:val="28"/>
          <w:szCs w:val="28"/>
        </w:rPr>
        <w:t>, Bâtiment DGC, 1</w:t>
      </w:r>
      <w:r>
        <w:rPr>
          <w:bCs/>
          <w:i/>
          <w:iCs/>
          <w:sz w:val="28"/>
          <w:szCs w:val="28"/>
          <w:vertAlign w:val="superscript"/>
        </w:rPr>
        <w:t xml:space="preserve">ère </w:t>
      </w:r>
      <w:r>
        <w:rPr>
          <w:bCs/>
          <w:i/>
          <w:iCs/>
          <w:sz w:val="28"/>
          <w:szCs w:val="28"/>
        </w:rPr>
        <w:t xml:space="preserve">étage porte n° 11 ; </w:t>
      </w:r>
      <w:r w:rsidRPr="00E64AE4">
        <w:rPr>
          <w:i/>
          <w:sz w:val="28"/>
          <w:szCs w:val="28"/>
        </w:rPr>
        <w:t>01</w:t>
      </w:r>
      <w:r>
        <w:rPr>
          <w:i/>
          <w:sz w:val="28"/>
          <w:szCs w:val="28"/>
        </w:rPr>
        <w:t xml:space="preserve"> </w:t>
      </w:r>
      <w:r w:rsidRPr="00E64AE4">
        <w:rPr>
          <w:i/>
          <w:sz w:val="28"/>
          <w:szCs w:val="28"/>
        </w:rPr>
        <w:t>B.P. 1648</w:t>
      </w:r>
      <w:r>
        <w:rPr>
          <w:i/>
          <w:sz w:val="28"/>
          <w:szCs w:val="28"/>
        </w:rPr>
        <w:t xml:space="preserve"> Lomé</w:t>
      </w:r>
      <w:r w:rsidRPr="00E64AE4">
        <w:rPr>
          <w:i/>
          <w:sz w:val="28"/>
          <w:szCs w:val="28"/>
        </w:rPr>
        <w:t>,</w:t>
      </w:r>
      <w:r>
        <w:rPr>
          <w:i/>
          <w:sz w:val="28"/>
          <w:szCs w:val="28"/>
        </w:rPr>
        <w:t xml:space="preserve"> </w:t>
      </w:r>
      <w:r w:rsidRPr="00E64AE4">
        <w:rPr>
          <w:i/>
          <w:sz w:val="28"/>
          <w:szCs w:val="28"/>
        </w:rPr>
        <w:t>Tél. (00228)</w:t>
      </w:r>
      <w:r w:rsidRPr="0091075D">
        <w:rPr>
          <w:rFonts w:eastAsia="Calibri"/>
          <w:szCs w:val="24"/>
        </w:rPr>
        <w:t xml:space="preserve"> </w:t>
      </w:r>
      <w:r w:rsidRPr="00E41CAA">
        <w:rPr>
          <w:rFonts w:eastAsia="Calibri"/>
          <w:szCs w:val="24"/>
        </w:rPr>
        <w:t>22 27 56 88</w:t>
      </w:r>
    </w:p>
    <w:p w14:paraId="0636934B" w14:textId="77777777" w:rsidR="007B5864" w:rsidRPr="00E64AE4" w:rsidRDefault="007B5864" w:rsidP="007B5864">
      <w:pPr>
        <w:ind w:left="720"/>
        <w:jc w:val="both"/>
        <w:rPr>
          <w:i/>
          <w:sz w:val="16"/>
          <w:szCs w:val="16"/>
        </w:rPr>
      </w:pPr>
    </w:p>
    <w:p w14:paraId="76BD4DE7" w14:textId="77777777" w:rsidR="007B5864" w:rsidRPr="00E64AE4" w:rsidRDefault="007B5864" w:rsidP="007B5864">
      <w:pPr>
        <w:pStyle w:val="Paragraphedeliste"/>
        <w:numPr>
          <w:ilvl w:val="0"/>
          <w:numId w:val="3"/>
        </w:numPr>
        <w:jc w:val="both"/>
        <w:rPr>
          <w:i/>
          <w:sz w:val="28"/>
          <w:szCs w:val="28"/>
        </w:rPr>
      </w:pPr>
      <w:r w:rsidRPr="00E64AE4">
        <w:rPr>
          <w:sz w:val="28"/>
          <w:szCs w:val="28"/>
        </w:rPr>
        <w:t>Les exigences en matière de qualifications sont :</w:t>
      </w:r>
    </w:p>
    <w:p w14:paraId="576296D2" w14:textId="77777777" w:rsidR="007B5864" w:rsidRPr="00E64AE4" w:rsidRDefault="007B5864" w:rsidP="007B5864">
      <w:pPr>
        <w:pStyle w:val="Paragraphedeliste"/>
        <w:jc w:val="both"/>
        <w:rPr>
          <w:i/>
          <w:sz w:val="28"/>
          <w:szCs w:val="28"/>
        </w:rPr>
      </w:pPr>
    </w:p>
    <w:p w14:paraId="7C40D286" w14:textId="77777777" w:rsidR="007B5864" w:rsidRPr="00E64AE4" w:rsidRDefault="007B5864" w:rsidP="007B5864">
      <w:pPr>
        <w:numPr>
          <w:ilvl w:val="0"/>
          <w:numId w:val="1"/>
        </w:numPr>
        <w:jc w:val="both"/>
        <w:rPr>
          <w:i/>
          <w:sz w:val="28"/>
          <w:szCs w:val="28"/>
        </w:rPr>
      </w:pPr>
      <w:r w:rsidRPr="00E64AE4">
        <w:rPr>
          <w:i/>
          <w:sz w:val="28"/>
          <w:szCs w:val="28"/>
        </w:rPr>
        <w:t>Avoir exécuté de manière satisfaisante et terminé au moins un (01) m</w:t>
      </w:r>
      <w:r>
        <w:rPr>
          <w:i/>
          <w:sz w:val="28"/>
          <w:szCs w:val="28"/>
        </w:rPr>
        <w:t xml:space="preserve">arché de fourniture de matériel semblable </w:t>
      </w:r>
      <w:r w:rsidRPr="00E64AE4">
        <w:rPr>
          <w:i/>
          <w:sz w:val="28"/>
          <w:szCs w:val="28"/>
        </w:rPr>
        <w:t xml:space="preserve">au cours des trois (03) dernières années et qui sont similaires aux fournitures proposées ; </w:t>
      </w:r>
    </w:p>
    <w:p w14:paraId="5DD94F85" w14:textId="77777777" w:rsidR="007B5864" w:rsidRPr="00E64AE4" w:rsidRDefault="007B5864" w:rsidP="007B5864">
      <w:pPr>
        <w:numPr>
          <w:ilvl w:val="0"/>
          <w:numId w:val="1"/>
        </w:numPr>
        <w:jc w:val="both"/>
        <w:rPr>
          <w:i/>
          <w:sz w:val="28"/>
          <w:szCs w:val="28"/>
        </w:rPr>
      </w:pPr>
      <w:r w:rsidRPr="00E64AE4">
        <w:rPr>
          <w:i/>
          <w:sz w:val="28"/>
          <w:szCs w:val="28"/>
        </w:rPr>
        <w:t>Avoir réalisé un chiffre d’affaires annuel moyen au cours des trois (03) dernières années</w:t>
      </w:r>
      <w:r>
        <w:rPr>
          <w:i/>
          <w:sz w:val="28"/>
          <w:szCs w:val="28"/>
        </w:rPr>
        <w:t xml:space="preserve"> </w:t>
      </w:r>
      <w:r w:rsidRPr="00E64AE4">
        <w:rPr>
          <w:i/>
          <w:sz w:val="28"/>
          <w:szCs w:val="28"/>
        </w:rPr>
        <w:t>(20</w:t>
      </w:r>
      <w:r>
        <w:rPr>
          <w:i/>
          <w:sz w:val="28"/>
          <w:szCs w:val="28"/>
        </w:rPr>
        <w:t>20</w:t>
      </w:r>
      <w:r w:rsidRPr="00E64AE4">
        <w:rPr>
          <w:i/>
          <w:sz w:val="28"/>
          <w:szCs w:val="28"/>
        </w:rPr>
        <w:t>, 20</w:t>
      </w:r>
      <w:r>
        <w:rPr>
          <w:i/>
          <w:sz w:val="28"/>
          <w:szCs w:val="28"/>
        </w:rPr>
        <w:t>21</w:t>
      </w:r>
      <w:r w:rsidRPr="00E64AE4">
        <w:rPr>
          <w:i/>
          <w:sz w:val="28"/>
          <w:szCs w:val="28"/>
        </w:rPr>
        <w:t xml:space="preserve"> et 202</w:t>
      </w:r>
      <w:r>
        <w:rPr>
          <w:i/>
          <w:sz w:val="28"/>
          <w:szCs w:val="28"/>
        </w:rPr>
        <w:t>2</w:t>
      </w:r>
      <w:r w:rsidRPr="00E64AE4">
        <w:rPr>
          <w:i/>
          <w:sz w:val="28"/>
          <w:szCs w:val="28"/>
        </w:rPr>
        <w:t>) au moins égale à 0,5 fois le montant de son offre ;</w:t>
      </w:r>
    </w:p>
    <w:p w14:paraId="74CC906F" w14:textId="77777777" w:rsidR="007B5864" w:rsidRPr="00E64AE4" w:rsidRDefault="007B5864" w:rsidP="007B5864">
      <w:pPr>
        <w:numPr>
          <w:ilvl w:val="0"/>
          <w:numId w:val="1"/>
        </w:numPr>
        <w:jc w:val="both"/>
        <w:rPr>
          <w:i/>
          <w:sz w:val="28"/>
          <w:szCs w:val="28"/>
        </w:rPr>
      </w:pPr>
      <w:r w:rsidRPr="00E64AE4">
        <w:rPr>
          <w:i/>
          <w:sz w:val="28"/>
          <w:szCs w:val="28"/>
        </w:rPr>
        <w:t>Fournir la preuve de capacité financière (disposer de liquidité financière) attestant que le soumissionnaire a accès à des facilités de crédits d’un montant permanent équivalent au moins à 0,5 fois le montant de l’offre en francs CFA.</w:t>
      </w:r>
    </w:p>
    <w:p w14:paraId="66CDDA79" w14:textId="77777777" w:rsidR="007B5864" w:rsidRPr="00E64AE4" w:rsidRDefault="007B5864" w:rsidP="007B5864">
      <w:pPr>
        <w:jc w:val="both"/>
        <w:rPr>
          <w:b/>
          <w:i/>
          <w:sz w:val="28"/>
          <w:szCs w:val="28"/>
          <w:u w:val="single"/>
        </w:rPr>
      </w:pPr>
      <w:r w:rsidRPr="00E64AE4">
        <w:rPr>
          <w:b/>
          <w:i/>
          <w:sz w:val="28"/>
          <w:szCs w:val="28"/>
          <w:u w:val="single"/>
        </w:rPr>
        <w:t xml:space="preserve">NB : </w:t>
      </w:r>
    </w:p>
    <w:p w14:paraId="02434062" w14:textId="77777777" w:rsidR="007B5864" w:rsidRPr="00E64AE4" w:rsidRDefault="007B5864" w:rsidP="007B5864">
      <w:pPr>
        <w:pStyle w:val="Paragraphedeliste"/>
        <w:numPr>
          <w:ilvl w:val="0"/>
          <w:numId w:val="4"/>
        </w:numPr>
        <w:jc w:val="both"/>
        <w:rPr>
          <w:b/>
          <w:i/>
          <w:sz w:val="28"/>
          <w:szCs w:val="28"/>
        </w:rPr>
      </w:pPr>
      <w:r w:rsidRPr="00E64AE4">
        <w:rPr>
          <w:b/>
          <w:i/>
          <w:sz w:val="28"/>
          <w:szCs w:val="28"/>
        </w:rPr>
        <w:t xml:space="preserve">« Les sociétés nouvellement créées qui sont dans l’impossibilité de fournir les états financiers des trois (03) dernières années </w:t>
      </w:r>
      <w:r w:rsidRPr="00E64AE4">
        <w:rPr>
          <w:i/>
          <w:sz w:val="28"/>
          <w:szCs w:val="28"/>
        </w:rPr>
        <w:t>(20</w:t>
      </w:r>
      <w:r>
        <w:rPr>
          <w:i/>
          <w:sz w:val="28"/>
          <w:szCs w:val="28"/>
        </w:rPr>
        <w:t>20</w:t>
      </w:r>
      <w:r w:rsidRPr="00E64AE4">
        <w:rPr>
          <w:i/>
          <w:sz w:val="28"/>
          <w:szCs w:val="28"/>
        </w:rPr>
        <w:t>, 20</w:t>
      </w:r>
      <w:r>
        <w:rPr>
          <w:i/>
          <w:sz w:val="28"/>
          <w:szCs w:val="28"/>
        </w:rPr>
        <w:t>21</w:t>
      </w:r>
      <w:r w:rsidRPr="00E64AE4">
        <w:rPr>
          <w:i/>
          <w:sz w:val="28"/>
          <w:szCs w:val="28"/>
        </w:rPr>
        <w:t xml:space="preserve"> et 202</w:t>
      </w:r>
      <w:r>
        <w:rPr>
          <w:i/>
          <w:sz w:val="28"/>
          <w:szCs w:val="28"/>
        </w:rPr>
        <w:t>2</w:t>
      </w:r>
      <w:r w:rsidRPr="00E64AE4">
        <w:rPr>
          <w:i/>
          <w:sz w:val="28"/>
          <w:szCs w:val="28"/>
        </w:rPr>
        <w:t>) exigés</w:t>
      </w:r>
      <w:r w:rsidRPr="00E64AE4">
        <w:rPr>
          <w:b/>
          <w:i/>
          <w:sz w:val="28"/>
          <w:szCs w:val="28"/>
        </w:rPr>
        <w:t>, sont autorisées à prouver leur capacité économique et financière par tout autre document substitutif distinct de l’attestation de capacité financière ».</w:t>
      </w:r>
    </w:p>
    <w:p w14:paraId="69099CB5" w14:textId="77777777" w:rsidR="007B5864" w:rsidRPr="00E64AE4" w:rsidRDefault="007B5864" w:rsidP="007B5864">
      <w:pPr>
        <w:pStyle w:val="Paragraphedeliste"/>
        <w:ind w:left="1065"/>
        <w:jc w:val="both"/>
        <w:rPr>
          <w:b/>
          <w:i/>
          <w:sz w:val="16"/>
          <w:szCs w:val="16"/>
        </w:rPr>
      </w:pPr>
    </w:p>
    <w:p w14:paraId="30CDB2EF" w14:textId="77777777" w:rsidR="007B5864" w:rsidRPr="00E64AE4" w:rsidRDefault="007B5864" w:rsidP="007B5864">
      <w:pPr>
        <w:pStyle w:val="Paragraphedeliste"/>
        <w:numPr>
          <w:ilvl w:val="0"/>
          <w:numId w:val="4"/>
        </w:numPr>
        <w:jc w:val="both"/>
        <w:rPr>
          <w:b/>
          <w:i/>
          <w:sz w:val="28"/>
          <w:szCs w:val="28"/>
        </w:rPr>
      </w:pPr>
      <w:r w:rsidRPr="00E64AE4">
        <w:rPr>
          <w:b/>
          <w:i/>
          <w:sz w:val="28"/>
          <w:szCs w:val="28"/>
        </w:rPr>
        <w:t xml:space="preserve">« </w:t>
      </w:r>
      <w:proofErr w:type="gramStart"/>
      <w:r w:rsidRPr="00E64AE4">
        <w:rPr>
          <w:b/>
          <w:i/>
          <w:sz w:val="28"/>
          <w:szCs w:val="28"/>
        </w:rPr>
        <w:t>les</w:t>
      </w:r>
      <w:proofErr w:type="gramEnd"/>
      <w:r w:rsidRPr="00E64AE4">
        <w:rPr>
          <w:b/>
          <w:i/>
          <w:sz w:val="28"/>
          <w:szCs w:val="28"/>
        </w:rPr>
        <w:t xml:space="preserve"> soumissionnaires sont informés que leurs offres financières doivent être élaborées dans le respect des prix contenus dans la version finale du répertoire des prix de référence (mercuriale des prix), disponible sur le site du Ministère de l’économie et des finances au </w:t>
      </w:r>
      <w:r w:rsidRPr="00E64AE4">
        <w:rPr>
          <w:b/>
          <w:i/>
          <w:sz w:val="28"/>
          <w:szCs w:val="28"/>
          <w:u w:val="single"/>
        </w:rPr>
        <w:t>httpf://finances.gouv.tg.</w:t>
      </w:r>
      <w:r w:rsidRPr="00E64AE4">
        <w:rPr>
          <w:b/>
          <w:i/>
          <w:sz w:val="28"/>
          <w:szCs w:val="28"/>
        </w:rPr>
        <w:t xml:space="preserve"> Dans le cas contraire, leurs offres seront redressées ».</w:t>
      </w:r>
    </w:p>
    <w:p w14:paraId="5E5649DF" w14:textId="77777777" w:rsidR="007B5864" w:rsidRPr="00E64AE4" w:rsidRDefault="007B5864" w:rsidP="007B5864">
      <w:pPr>
        <w:jc w:val="both"/>
        <w:rPr>
          <w:b/>
          <w:i/>
          <w:sz w:val="16"/>
          <w:szCs w:val="16"/>
        </w:rPr>
      </w:pPr>
    </w:p>
    <w:p w14:paraId="2F5CE20E" w14:textId="77777777" w:rsidR="007B5864" w:rsidRPr="00E64AE4" w:rsidRDefault="007B5864" w:rsidP="007B5864">
      <w:pPr>
        <w:ind w:left="720"/>
        <w:jc w:val="both"/>
        <w:rPr>
          <w:sz w:val="28"/>
          <w:szCs w:val="28"/>
        </w:rPr>
      </w:pPr>
      <w:r w:rsidRPr="00E64AE4">
        <w:rPr>
          <w:sz w:val="28"/>
          <w:szCs w:val="28"/>
        </w:rPr>
        <w:t xml:space="preserve">Voir le DPAO pour les informations détaillées. </w:t>
      </w:r>
    </w:p>
    <w:p w14:paraId="1958F819" w14:textId="77777777" w:rsidR="007B5864" w:rsidRPr="00E64AE4" w:rsidRDefault="007B5864" w:rsidP="007B5864">
      <w:pPr>
        <w:ind w:left="720"/>
        <w:jc w:val="both"/>
        <w:rPr>
          <w:sz w:val="16"/>
          <w:szCs w:val="16"/>
        </w:rPr>
      </w:pPr>
    </w:p>
    <w:p w14:paraId="053295BA" w14:textId="77777777" w:rsidR="007B5864" w:rsidRPr="00E64AE4" w:rsidRDefault="007B5864" w:rsidP="007B5864">
      <w:pPr>
        <w:pStyle w:val="Paragraphedeliste"/>
        <w:numPr>
          <w:ilvl w:val="0"/>
          <w:numId w:val="3"/>
        </w:numPr>
        <w:jc w:val="both"/>
        <w:rPr>
          <w:sz w:val="28"/>
          <w:szCs w:val="28"/>
        </w:rPr>
      </w:pPr>
      <w:r w:rsidRPr="00E64AE4">
        <w:rPr>
          <w:sz w:val="28"/>
          <w:szCs w:val="28"/>
        </w:rPr>
        <w:t xml:space="preserve">Les candidats intéressés peuvent consulter gratuitement le dossier d’appel d’offres ou le retirer à titre onéreux contre payement d’une somme non remboursable de </w:t>
      </w:r>
      <w:r>
        <w:rPr>
          <w:b/>
          <w:sz w:val="28"/>
          <w:szCs w:val="28"/>
        </w:rPr>
        <w:t>cinquante mille (5</w:t>
      </w:r>
      <w:r w:rsidRPr="00E64AE4">
        <w:rPr>
          <w:b/>
          <w:sz w:val="28"/>
          <w:szCs w:val="28"/>
        </w:rPr>
        <w:t xml:space="preserve">0 000) F CFA </w:t>
      </w:r>
      <w:r w:rsidRPr="00E64AE4">
        <w:rPr>
          <w:sz w:val="28"/>
          <w:szCs w:val="28"/>
        </w:rPr>
        <w:t xml:space="preserve">à l’adresse mentionnée ci-haut. </w:t>
      </w:r>
      <w:bookmarkStart w:id="4" w:name="_Hlk133577281"/>
      <w:r w:rsidRPr="00E64AE4">
        <w:rPr>
          <w:sz w:val="28"/>
          <w:szCs w:val="28"/>
        </w:rPr>
        <w:t>La méthode de paiement sera la remise en espèce. Le dossier d’appel d’offres sera remis de main en main</w:t>
      </w:r>
      <w:r w:rsidRPr="00E64AE4">
        <w:rPr>
          <w:b/>
          <w:sz w:val="28"/>
          <w:szCs w:val="28"/>
        </w:rPr>
        <w:t>.</w:t>
      </w:r>
      <w:bookmarkEnd w:id="4"/>
    </w:p>
    <w:p w14:paraId="00A6AE5B" w14:textId="77777777" w:rsidR="007B5864" w:rsidRPr="00E64AE4" w:rsidRDefault="007B5864" w:rsidP="007B5864">
      <w:pPr>
        <w:pStyle w:val="Paragraphedeliste"/>
        <w:jc w:val="both"/>
        <w:rPr>
          <w:sz w:val="16"/>
          <w:szCs w:val="16"/>
        </w:rPr>
      </w:pPr>
    </w:p>
    <w:p w14:paraId="157B8BDD" w14:textId="6A82170A" w:rsidR="007B5864" w:rsidRPr="00E64AE4" w:rsidRDefault="007B5864" w:rsidP="007B5864">
      <w:pPr>
        <w:pStyle w:val="Paragraphedeliste"/>
        <w:numPr>
          <w:ilvl w:val="0"/>
          <w:numId w:val="3"/>
        </w:numPr>
        <w:jc w:val="both"/>
        <w:rPr>
          <w:sz w:val="28"/>
          <w:szCs w:val="28"/>
        </w:rPr>
      </w:pPr>
      <w:r w:rsidRPr="00E64AE4">
        <w:rPr>
          <w:sz w:val="28"/>
          <w:szCs w:val="28"/>
        </w:rPr>
        <w:t xml:space="preserve">L’offres doit être soumise à l’adresse ci-après </w:t>
      </w:r>
      <w:r w:rsidRPr="00E64AE4">
        <w:rPr>
          <w:i/>
          <w:sz w:val="28"/>
          <w:szCs w:val="28"/>
        </w:rPr>
        <w:t>Ancien Immeuble de la BCEAO, face Place des Martyrs</w:t>
      </w:r>
      <w:r w:rsidRPr="00E64AE4">
        <w:rPr>
          <w:sz w:val="28"/>
          <w:szCs w:val="28"/>
        </w:rPr>
        <w:t xml:space="preserve">, secrétariat de la PRMP, </w:t>
      </w:r>
      <w:r>
        <w:rPr>
          <w:bCs/>
          <w:i/>
          <w:iCs/>
          <w:sz w:val="28"/>
          <w:szCs w:val="28"/>
        </w:rPr>
        <w:t>Bâtiment DCIC, 1</w:t>
      </w:r>
      <w:r>
        <w:rPr>
          <w:bCs/>
          <w:i/>
          <w:iCs/>
          <w:sz w:val="28"/>
          <w:szCs w:val="28"/>
          <w:vertAlign w:val="superscript"/>
        </w:rPr>
        <w:t xml:space="preserve">ère </w:t>
      </w:r>
      <w:r>
        <w:rPr>
          <w:bCs/>
          <w:i/>
          <w:iCs/>
          <w:sz w:val="28"/>
          <w:szCs w:val="28"/>
        </w:rPr>
        <w:t xml:space="preserve">étage porte n° 11 ; </w:t>
      </w:r>
      <w:r w:rsidRPr="00E64AE4">
        <w:rPr>
          <w:sz w:val="28"/>
          <w:szCs w:val="28"/>
        </w:rPr>
        <w:t>T</w:t>
      </w:r>
      <w:r>
        <w:rPr>
          <w:sz w:val="28"/>
          <w:szCs w:val="28"/>
        </w:rPr>
        <w:t xml:space="preserve">él (228) </w:t>
      </w:r>
      <w:r w:rsidRPr="00E41CAA">
        <w:rPr>
          <w:rFonts w:eastAsia="Calibri"/>
          <w:szCs w:val="24"/>
        </w:rPr>
        <w:t>22 27 56 88</w:t>
      </w:r>
      <w:r w:rsidRPr="00E64AE4">
        <w:rPr>
          <w:sz w:val="28"/>
          <w:szCs w:val="28"/>
        </w:rPr>
        <w:t>, au plus tard le</w:t>
      </w:r>
      <w:r>
        <w:rPr>
          <w:sz w:val="28"/>
          <w:szCs w:val="28"/>
        </w:rPr>
        <w:t xml:space="preserve"> </w:t>
      </w:r>
      <w:r w:rsidR="00580F11">
        <w:rPr>
          <w:b/>
          <w:bCs/>
          <w:sz w:val="28"/>
          <w:szCs w:val="28"/>
        </w:rPr>
        <w:t>5</w:t>
      </w:r>
      <w:r w:rsidR="002F42F1" w:rsidRPr="002F42F1">
        <w:rPr>
          <w:b/>
          <w:bCs/>
          <w:sz w:val="28"/>
          <w:szCs w:val="28"/>
        </w:rPr>
        <w:t xml:space="preserve"> juin</w:t>
      </w:r>
      <w:r>
        <w:rPr>
          <w:sz w:val="28"/>
          <w:szCs w:val="28"/>
        </w:rPr>
        <w:t xml:space="preserve"> </w:t>
      </w:r>
      <w:r w:rsidRPr="00E64AE4">
        <w:rPr>
          <w:b/>
          <w:sz w:val="28"/>
          <w:szCs w:val="28"/>
        </w:rPr>
        <w:t>202</w:t>
      </w:r>
      <w:r>
        <w:rPr>
          <w:b/>
          <w:sz w:val="28"/>
          <w:szCs w:val="28"/>
        </w:rPr>
        <w:t>3</w:t>
      </w:r>
      <w:r w:rsidR="002F42F1">
        <w:rPr>
          <w:sz w:val="28"/>
          <w:szCs w:val="28"/>
        </w:rPr>
        <w:t xml:space="preserve"> à </w:t>
      </w:r>
      <w:r w:rsidR="002F42F1" w:rsidRPr="002F42F1">
        <w:rPr>
          <w:b/>
          <w:bCs/>
          <w:sz w:val="28"/>
          <w:szCs w:val="28"/>
        </w:rPr>
        <w:t>15 heures 00 minute</w:t>
      </w:r>
      <w:r w:rsidR="002F42F1">
        <w:rPr>
          <w:sz w:val="28"/>
          <w:szCs w:val="28"/>
        </w:rPr>
        <w:t xml:space="preserve">. </w:t>
      </w:r>
      <w:r w:rsidRPr="00E64AE4">
        <w:rPr>
          <w:sz w:val="28"/>
          <w:szCs w:val="28"/>
        </w:rPr>
        <w:t>Les offres remises en retard ne seront pas acceptées.</w:t>
      </w:r>
    </w:p>
    <w:p w14:paraId="3FB1569B" w14:textId="77777777" w:rsidR="007B5864" w:rsidRPr="00E64AE4" w:rsidRDefault="007B5864" w:rsidP="007B5864">
      <w:pPr>
        <w:pStyle w:val="Paragraphedeliste"/>
        <w:jc w:val="both"/>
        <w:rPr>
          <w:sz w:val="16"/>
          <w:szCs w:val="16"/>
        </w:rPr>
      </w:pPr>
    </w:p>
    <w:p w14:paraId="11545BEE" w14:textId="77777777" w:rsidR="007B5864" w:rsidRPr="00E64AE4" w:rsidRDefault="007B5864" w:rsidP="007B5864">
      <w:pPr>
        <w:pStyle w:val="Paragraphedeliste"/>
        <w:numPr>
          <w:ilvl w:val="0"/>
          <w:numId w:val="3"/>
        </w:numPr>
        <w:jc w:val="both"/>
        <w:rPr>
          <w:sz w:val="28"/>
          <w:szCs w:val="28"/>
        </w:rPr>
      </w:pPr>
      <w:r w:rsidRPr="009819F6">
        <w:rPr>
          <w:sz w:val="28"/>
          <w:szCs w:val="28"/>
        </w:rPr>
        <w:t>L’offres doit être accompagnée d’une</w:t>
      </w:r>
      <w:r w:rsidRPr="009819F6">
        <w:rPr>
          <w:iCs/>
          <w:sz w:val="28"/>
          <w:szCs w:val="28"/>
        </w:rPr>
        <w:t xml:space="preserve"> garantie de soumission émise par une banque de la place</w:t>
      </w:r>
      <w:r w:rsidRPr="009819F6">
        <w:rPr>
          <w:sz w:val="28"/>
          <w:szCs w:val="28"/>
        </w:rPr>
        <w:t xml:space="preserve"> ou d’une banque étrangère ayant une banque correspondante au Togo d’un </w:t>
      </w:r>
      <w:r>
        <w:rPr>
          <w:sz w:val="28"/>
          <w:szCs w:val="28"/>
        </w:rPr>
        <w:t xml:space="preserve">montant de </w:t>
      </w:r>
      <w:r w:rsidRPr="00BF6C4E">
        <w:rPr>
          <w:b/>
          <w:sz w:val="28"/>
          <w:szCs w:val="28"/>
        </w:rPr>
        <w:t>neuf cent mille</w:t>
      </w:r>
      <w:r>
        <w:rPr>
          <w:b/>
          <w:sz w:val="28"/>
          <w:szCs w:val="28"/>
        </w:rPr>
        <w:t xml:space="preserve"> </w:t>
      </w:r>
      <w:r w:rsidRPr="009819F6">
        <w:rPr>
          <w:sz w:val="28"/>
          <w:szCs w:val="28"/>
        </w:rPr>
        <w:t>(</w:t>
      </w:r>
      <w:r w:rsidRPr="003457AA">
        <w:rPr>
          <w:b/>
          <w:sz w:val="28"/>
          <w:szCs w:val="28"/>
        </w:rPr>
        <w:t>9</w:t>
      </w:r>
      <w:r w:rsidRPr="009819F6">
        <w:rPr>
          <w:b/>
          <w:sz w:val="28"/>
          <w:szCs w:val="28"/>
        </w:rPr>
        <w:t>00 000</w:t>
      </w:r>
      <w:r w:rsidRPr="009819F6">
        <w:rPr>
          <w:sz w:val="28"/>
          <w:szCs w:val="28"/>
        </w:rPr>
        <w:t>) de</w:t>
      </w:r>
      <w:r w:rsidRPr="009819F6">
        <w:rPr>
          <w:b/>
          <w:sz w:val="28"/>
          <w:szCs w:val="28"/>
        </w:rPr>
        <w:t xml:space="preserve"> </w:t>
      </w:r>
      <w:r w:rsidRPr="009819F6">
        <w:rPr>
          <w:sz w:val="28"/>
          <w:szCs w:val="28"/>
        </w:rPr>
        <w:lastRenderedPageBreak/>
        <w:t>franc CFA et demeurera valides vingt-huit (28) jours après la durée de validité des offres</w:t>
      </w:r>
      <w:r w:rsidRPr="00E64AE4">
        <w:rPr>
          <w:sz w:val="28"/>
          <w:szCs w:val="28"/>
        </w:rPr>
        <w:t>.</w:t>
      </w:r>
    </w:p>
    <w:p w14:paraId="6C576C8F" w14:textId="77777777" w:rsidR="007B5864" w:rsidRPr="00E64AE4" w:rsidRDefault="007B5864" w:rsidP="007B5864">
      <w:pPr>
        <w:pStyle w:val="Paragraphedeliste"/>
        <w:jc w:val="both"/>
        <w:rPr>
          <w:sz w:val="16"/>
          <w:szCs w:val="16"/>
        </w:rPr>
      </w:pPr>
    </w:p>
    <w:p w14:paraId="70ECA581" w14:textId="77777777" w:rsidR="007B5864" w:rsidRPr="00E64AE4" w:rsidRDefault="007B5864" w:rsidP="007B5864">
      <w:pPr>
        <w:pStyle w:val="Paragraphedeliste"/>
        <w:numPr>
          <w:ilvl w:val="0"/>
          <w:numId w:val="3"/>
        </w:numPr>
        <w:jc w:val="both"/>
        <w:rPr>
          <w:sz w:val="28"/>
          <w:szCs w:val="28"/>
        </w:rPr>
      </w:pPr>
      <w:r w:rsidRPr="00E64AE4">
        <w:rPr>
          <w:sz w:val="28"/>
          <w:szCs w:val="28"/>
        </w:rPr>
        <w:t xml:space="preserve">Les candidats resteront engagés par leur offre pendant une période de </w:t>
      </w:r>
      <w:r w:rsidRPr="00E64AE4">
        <w:rPr>
          <w:b/>
          <w:i/>
          <w:iCs/>
          <w:sz w:val="28"/>
          <w:szCs w:val="28"/>
        </w:rPr>
        <w:t xml:space="preserve">quatre-vingt-dix (90) jours </w:t>
      </w:r>
      <w:r w:rsidRPr="00E64AE4">
        <w:rPr>
          <w:sz w:val="28"/>
          <w:szCs w:val="28"/>
        </w:rPr>
        <w:t>à compter de la date limite du dépôt des offres comme spécifié au point 19.1 des IC et au DPAO.</w:t>
      </w:r>
    </w:p>
    <w:p w14:paraId="419633EF" w14:textId="77777777" w:rsidR="007B5864" w:rsidRPr="00E64AE4" w:rsidRDefault="007B5864" w:rsidP="007B5864">
      <w:pPr>
        <w:pStyle w:val="Paragraphedeliste"/>
        <w:jc w:val="both"/>
        <w:rPr>
          <w:sz w:val="28"/>
          <w:szCs w:val="28"/>
        </w:rPr>
      </w:pPr>
    </w:p>
    <w:p w14:paraId="3A532B38" w14:textId="0E6DBBA6" w:rsidR="007B5864" w:rsidRPr="00E64AE4" w:rsidRDefault="007B5864" w:rsidP="007B5864">
      <w:pPr>
        <w:pStyle w:val="Paragraphedeliste"/>
        <w:numPr>
          <w:ilvl w:val="0"/>
          <w:numId w:val="3"/>
        </w:numPr>
        <w:jc w:val="both"/>
        <w:rPr>
          <w:sz w:val="28"/>
          <w:szCs w:val="28"/>
        </w:rPr>
      </w:pPr>
      <w:r w:rsidRPr="00E64AE4">
        <w:rPr>
          <w:sz w:val="28"/>
          <w:szCs w:val="28"/>
        </w:rPr>
        <w:t>Les offres seront ouvertes en prése</w:t>
      </w:r>
      <w:r>
        <w:rPr>
          <w:sz w:val="28"/>
          <w:szCs w:val="28"/>
        </w:rPr>
        <w:t xml:space="preserve">nce des représentants des </w:t>
      </w:r>
      <w:r w:rsidRPr="00E64AE4">
        <w:rPr>
          <w:sz w:val="28"/>
          <w:szCs w:val="28"/>
        </w:rPr>
        <w:t>soumissionnaires qui souhaitent assister à l’ouverture des plis le</w:t>
      </w:r>
      <w:r>
        <w:rPr>
          <w:sz w:val="28"/>
          <w:szCs w:val="28"/>
        </w:rPr>
        <w:t xml:space="preserve"> </w:t>
      </w:r>
      <w:r w:rsidR="00580F11">
        <w:rPr>
          <w:b/>
          <w:bCs/>
          <w:sz w:val="28"/>
          <w:szCs w:val="28"/>
        </w:rPr>
        <w:t>5</w:t>
      </w:r>
      <w:r w:rsidR="00AC7DC6">
        <w:rPr>
          <w:b/>
          <w:bCs/>
          <w:sz w:val="28"/>
          <w:szCs w:val="28"/>
        </w:rPr>
        <w:t xml:space="preserve"> juin </w:t>
      </w:r>
      <w:r w:rsidR="00AC7DC6" w:rsidRPr="00AC7DC6">
        <w:rPr>
          <w:b/>
          <w:bCs/>
          <w:sz w:val="28"/>
          <w:szCs w:val="28"/>
        </w:rPr>
        <w:t>2023</w:t>
      </w:r>
      <w:r w:rsidRPr="00AC7DC6">
        <w:rPr>
          <w:b/>
          <w:bCs/>
          <w:sz w:val="28"/>
          <w:szCs w:val="28"/>
        </w:rPr>
        <w:t xml:space="preserve"> à</w:t>
      </w:r>
      <w:r w:rsidRPr="00E64AE4">
        <w:rPr>
          <w:b/>
          <w:sz w:val="28"/>
          <w:szCs w:val="28"/>
        </w:rPr>
        <w:t xml:space="preserve"> </w:t>
      </w:r>
      <w:r>
        <w:rPr>
          <w:b/>
          <w:sz w:val="28"/>
          <w:szCs w:val="28"/>
        </w:rPr>
        <w:t>1</w:t>
      </w:r>
      <w:r w:rsidR="00AC7DC6">
        <w:rPr>
          <w:b/>
          <w:sz w:val="28"/>
          <w:szCs w:val="28"/>
        </w:rPr>
        <w:t>5</w:t>
      </w:r>
      <w:r>
        <w:rPr>
          <w:b/>
          <w:sz w:val="28"/>
          <w:szCs w:val="28"/>
        </w:rPr>
        <w:t xml:space="preserve"> </w:t>
      </w:r>
      <w:r w:rsidRPr="00AC7DC6">
        <w:rPr>
          <w:b/>
          <w:bCs/>
          <w:sz w:val="28"/>
          <w:szCs w:val="28"/>
        </w:rPr>
        <w:t>heures 30 minutes</w:t>
      </w:r>
      <w:r>
        <w:rPr>
          <w:sz w:val="28"/>
          <w:szCs w:val="28"/>
        </w:rPr>
        <w:t xml:space="preserve"> </w:t>
      </w:r>
      <w:r w:rsidRPr="008B5996">
        <w:rPr>
          <w:sz w:val="28"/>
          <w:szCs w:val="28"/>
        </w:rPr>
        <w:t>à</w:t>
      </w:r>
      <w:r w:rsidRPr="00E64AE4">
        <w:rPr>
          <w:sz w:val="28"/>
          <w:szCs w:val="28"/>
        </w:rPr>
        <w:t xml:space="preserve"> l’adresse suivante : </w:t>
      </w:r>
    </w:p>
    <w:p w14:paraId="23ADE38E" w14:textId="77777777" w:rsidR="007B5864" w:rsidRPr="00E64AE4" w:rsidRDefault="007B5864" w:rsidP="007B5864">
      <w:pPr>
        <w:jc w:val="both"/>
        <w:rPr>
          <w:sz w:val="16"/>
          <w:szCs w:val="16"/>
        </w:rPr>
      </w:pPr>
    </w:p>
    <w:p w14:paraId="60FF7AC0" w14:textId="77777777" w:rsidR="007B5864" w:rsidRPr="0007047E" w:rsidRDefault="007B5864" w:rsidP="007B5864">
      <w:pPr>
        <w:ind w:left="720"/>
        <w:jc w:val="both"/>
        <w:rPr>
          <w:bCs/>
          <w:i/>
          <w:iCs/>
          <w:sz w:val="28"/>
          <w:szCs w:val="28"/>
        </w:rPr>
      </w:pPr>
      <w:r w:rsidRPr="00E64AE4">
        <w:rPr>
          <w:i/>
          <w:sz w:val="28"/>
          <w:szCs w:val="28"/>
        </w:rPr>
        <w:t>Ministère du Commerce, de l’Industrie et de la Consommation Locale (MCICL)</w:t>
      </w:r>
      <w:r>
        <w:rPr>
          <w:i/>
          <w:sz w:val="28"/>
          <w:szCs w:val="28"/>
        </w:rPr>
        <w:t> </w:t>
      </w:r>
      <w:r>
        <w:rPr>
          <w:bCs/>
          <w:i/>
          <w:iCs/>
          <w:sz w:val="28"/>
          <w:szCs w:val="28"/>
        </w:rPr>
        <w:t xml:space="preserve">; </w:t>
      </w:r>
      <w:r w:rsidRPr="00E64AE4">
        <w:rPr>
          <w:i/>
          <w:sz w:val="28"/>
          <w:szCs w:val="28"/>
        </w:rPr>
        <w:t>Ancien Immeuble de la BCEAO, face Place des Martyrs,</w:t>
      </w:r>
    </w:p>
    <w:p w14:paraId="4415127C" w14:textId="3D1D325B" w:rsidR="007B5864" w:rsidRDefault="007B5864" w:rsidP="007B5864">
      <w:pPr>
        <w:ind w:left="720"/>
        <w:jc w:val="both"/>
        <w:rPr>
          <w:rFonts w:eastAsia="Calibri"/>
          <w:szCs w:val="24"/>
        </w:rPr>
      </w:pPr>
      <w:r w:rsidRPr="00E64AE4">
        <w:rPr>
          <w:b/>
          <w:i/>
          <w:sz w:val="28"/>
          <w:szCs w:val="28"/>
        </w:rPr>
        <w:t>Salle de réunion du MCICL</w:t>
      </w:r>
      <w:r>
        <w:rPr>
          <w:b/>
          <w:sz w:val="28"/>
          <w:szCs w:val="28"/>
        </w:rPr>
        <w:t xml:space="preserve">, </w:t>
      </w:r>
      <w:r w:rsidRPr="00E64AE4">
        <w:rPr>
          <w:i/>
          <w:sz w:val="28"/>
          <w:szCs w:val="28"/>
        </w:rPr>
        <w:t xml:space="preserve">Tél. (00228) </w:t>
      </w:r>
      <w:r w:rsidRPr="00E41CAA">
        <w:rPr>
          <w:rFonts w:eastAsia="Calibri"/>
          <w:szCs w:val="24"/>
        </w:rPr>
        <w:t>22 27 56 88</w:t>
      </w:r>
    </w:p>
    <w:p w14:paraId="2421B4D6" w14:textId="77777777" w:rsidR="00A27BE6" w:rsidRDefault="00A27BE6" w:rsidP="007B5864">
      <w:pPr>
        <w:ind w:left="720"/>
        <w:jc w:val="both"/>
        <w:rPr>
          <w:rFonts w:eastAsia="Calibri"/>
          <w:szCs w:val="24"/>
        </w:rPr>
      </w:pPr>
    </w:p>
    <w:p w14:paraId="7772E6C0" w14:textId="77777777" w:rsidR="007B5864" w:rsidRDefault="007B5864" w:rsidP="007B5864">
      <w:pPr>
        <w:ind w:left="720"/>
        <w:jc w:val="both"/>
        <w:rPr>
          <w:rFonts w:ascii="Bookman Old Style" w:hAnsi="Bookman Old Style"/>
          <w:i/>
          <w:sz w:val="28"/>
          <w:szCs w:val="28"/>
        </w:rPr>
      </w:pPr>
    </w:p>
    <w:p w14:paraId="0E0B4D70" w14:textId="77777777" w:rsidR="007B5864" w:rsidRPr="00A213E8" w:rsidRDefault="007B5864" w:rsidP="007B5864">
      <w:pPr>
        <w:jc w:val="both"/>
        <w:rPr>
          <w:rFonts w:ascii="Bookman Old Style" w:hAnsi="Bookman Old Style"/>
          <w:b/>
          <w:i/>
          <w:sz w:val="28"/>
          <w:szCs w:val="28"/>
        </w:rPr>
      </w:pPr>
      <w:r>
        <w:rPr>
          <w:rFonts w:ascii="Bookman Old Style" w:hAnsi="Bookman Old Style"/>
          <w:b/>
          <w:i/>
          <w:sz w:val="28"/>
          <w:szCs w:val="28"/>
        </w:rPr>
        <w:t xml:space="preserve">                     </w:t>
      </w:r>
      <w:r w:rsidRPr="00A213E8">
        <w:rPr>
          <w:rFonts w:ascii="Bookman Old Style" w:hAnsi="Bookman Old Style"/>
          <w:b/>
          <w:i/>
          <w:sz w:val="28"/>
          <w:szCs w:val="28"/>
        </w:rPr>
        <w:t>La Personne Responsable des Marchés Publics</w:t>
      </w:r>
    </w:p>
    <w:p w14:paraId="62A67490" w14:textId="77777777" w:rsidR="007B5864" w:rsidRPr="00507F2F" w:rsidRDefault="007B5864" w:rsidP="007B5864">
      <w:pPr>
        <w:ind w:left="720"/>
        <w:jc w:val="both"/>
        <w:rPr>
          <w:rFonts w:ascii="Bookman Old Style" w:hAnsi="Bookman Old Style"/>
          <w:i/>
          <w:sz w:val="28"/>
          <w:szCs w:val="28"/>
        </w:rPr>
      </w:pPr>
    </w:p>
    <w:p w14:paraId="26D29EF7" w14:textId="6F23FC32" w:rsidR="007B5864" w:rsidRDefault="007B5864" w:rsidP="007B5864">
      <w:pPr>
        <w:ind w:left="720"/>
        <w:jc w:val="both"/>
        <w:rPr>
          <w:rFonts w:ascii="Bookman Old Style" w:hAnsi="Bookman Old Style"/>
          <w:b/>
          <w:i/>
          <w:sz w:val="28"/>
          <w:szCs w:val="28"/>
        </w:rPr>
      </w:pPr>
    </w:p>
    <w:p w14:paraId="528EF7B5" w14:textId="31FD09A2" w:rsidR="007B5864" w:rsidRDefault="007B5864" w:rsidP="007B5864">
      <w:pPr>
        <w:ind w:left="720"/>
        <w:jc w:val="both"/>
        <w:rPr>
          <w:rFonts w:ascii="Bookman Old Style" w:hAnsi="Bookman Old Style"/>
          <w:b/>
          <w:i/>
          <w:sz w:val="28"/>
          <w:szCs w:val="28"/>
        </w:rPr>
      </w:pPr>
    </w:p>
    <w:p w14:paraId="53674DB6" w14:textId="77777777" w:rsidR="00A27BE6" w:rsidRPr="00507F2F" w:rsidRDefault="00A27BE6" w:rsidP="007B5864">
      <w:pPr>
        <w:ind w:left="720"/>
        <w:jc w:val="both"/>
        <w:rPr>
          <w:rFonts w:ascii="Bookman Old Style" w:hAnsi="Bookman Old Style"/>
          <w:b/>
          <w:i/>
          <w:sz w:val="28"/>
          <w:szCs w:val="28"/>
        </w:rPr>
      </w:pPr>
    </w:p>
    <w:p w14:paraId="79293DB9" w14:textId="77777777" w:rsidR="007B5864" w:rsidRDefault="007B5864" w:rsidP="007B5864">
      <w:pPr>
        <w:ind w:left="4956"/>
        <w:jc w:val="both"/>
        <w:rPr>
          <w:rFonts w:ascii="Bookman Old Style" w:hAnsi="Bookman Old Style"/>
          <w:b/>
          <w:sz w:val="28"/>
          <w:szCs w:val="28"/>
          <w:u w:val="single"/>
        </w:rPr>
      </w:pPr>
    </w:p>
    <w:p w14:paraId="3E31D3CC" w14:textId="77777777" w:rsidR="007B5864" w:rsidRDefault="007B5864" w:rsidP="007B5864">
      <w:pPr>
        <w:ind w:left="4956"/>
        <w:jc w:val="both"/>
        <w:rPr>
          <w:rFonts w:ascii="Bookman Old Style" w:hAnsi="Bookman Old Style"/>
          <w:b/>
          <w:sz w:val="28"/>
          <w:szCs w:val="28"/>
          <w:u w:val="single"/>
        </w:rPr>
      </w:pPr>
    </w:p>
    <w:p w14:paraId="1897210A" w14:textId="77777777" w:rsidR="007B5864" w:rsidRPr="002253EC" w:rsidRDefault="007B5864" w:rsidP="007B5864">
      <w:pPr>
        <w:jc w:val="both"/>
        <w:rPr>
          <w:b/>
          <w:sz w:val="28"/>
          <w:szCs w:val="28"/>
          <w:u w:val="single"/>
        </w:rPr>
      </w:pPr>
      <w:r w:rsidRPr="00D04DB6">
        <w:rPr>
          <w:rFonts w:ascii="Bookman Old Style" w:hAnsi="Bookman Old Style"/>
          <w:b/>
          <w:sz w:val="28"/>
          <w:szCs w:val="28"/>
        </w:rPr>
        <w:t xml:space="preserve">                 </w:t>
      </w:r>
      <w:r>
        <w:rPr>
          <w:rFonts w:ascii="Bookman Old Style" w:hAnsi="Bookman Old Style"/>
          <w:b/>
          <w:sz w:val="28"/>
          <w:szCs w:val="28"/>
        </w:rPr>
        <w:t xml:space="preserve">                      </w:t>
      </w:r>
      <w:r w:rsidRPr="00D04DB6">
        <w:rPr>
          <w:rFonts w:ascii="Bookman Old Style" w:hAnsi="Bookman Old Style"/>
          <w:b/>
          <w:sz w:val="28"/>
          <w:szCs w:val="28"/>
        </w:rPr>
        <w:t xml:space="preserve">      </w:t>
      </w:r>
      <w:r>
        <w:rPr>
          <w:rFonts w:ascii="Bookman Old Style" w:hAnsi="Bookman Old Style"/>
          <w:b/>
          <w:sz w:val="28"/>
          <w:szCs w:val="28"/>
          <w:u w:val="single"/>
        </w:rPr>
        <w:t>Talime ABE</w:t>
      </w:r>
    </w:p>
    <w:p w14:paraId="7E55E9E7" w14:textId="07A1E423" w:rsidR="007B5864" w:rsidRDefault="007B5864"/>
    <w:p w14:paraId="68B9D28D" w14:textId="3BCF6222" w:rsidR="00301454" w:rsidRDefault="00301454"/>
    <w:p w14:paraId="1DF4964F" w14:textId="4B371403" w:rsidR="00301454" w:rsidRDefault="00301454"/>
    <w:p w14:paraId="1B07A397" w14:textId="0F1B8BEF" w:rsidR="00301454" w:rsidRDefault="00301454"/>
    <w:p w14:paraId="2ED40C84" w14:textId="17F102BD" w:rsidR="00301454" w:rsidRDefault="00301454"/>
    <w:p w14:paraId="1402DDE3" w14:textId="4D06FD0B" w:rsidR="00301454" w:rsidRDefault="00301454"/>
    <w:p w14:paraId="202675F3" w14:textId="7E87B4C7" w:rsidR="00301454" w:rsidRDefault="00301454"/>
    <w:p w14:paraId="372F3DC4" w14:textId="08DA2DC9" w:rsidR="00301454" w:rsidRDefault="00301454"/>
    <w:p w14:paraId="351B29C6" w14:textId="6E1E5BC8" w:rsidR="00156DD0" w:rsidRDefault="00156DD0"/>
    <w:p w14:paraId="1DB3F31B" w14:textId="1B821892" w:rsidR="00156DD0" w:rsidRDefault="00156DD0"/>
    <w:p w14:paraId="68F550A2" w14:textId="26234E84" w:rsidR="00156DD0" w:rsidRDefault="00156DD0"/>
    <w:p w14:paraId="3387D481" w14:textId="77777777" w:rsidR="00156DD0" w:rsidRDefault="00156DD0"/>
    <w:p w14:paraId="719138FB" w14:textId="6B43E7BF" w:rsidR="00301454" w:rsidRDefault="00301454"/>
    <w:p w14:paraId="271E8040" w14:textId="582AE673" w:rsidR="00301454" w:rsidRDefault="00301454"/>
    <w:bookmarkEnd w:id="0"/>
    <w:p w14:paraId="00D7A365" w14:textId="6BA41675" w:rsidR="00301454" w:rsidRDefault="00301454"/>
    <w:sectPr w:rsidR="00301454" w:rsidSect="006529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A53" w14:textId="77777777" w:rsidR="000F1A8A" w:rsidRDefault="000F1A8A" w:rsidP="004B0A8A">
      <w:r>
        <w:separator/>
      </w:r>
    </w:p>
  </w:endnote>
  <w:endnote w:type="continuationSeparator" w:id="0">
    <w:p w14:paraId="74937F02" w14:textId="77777777" w:rsidR="000F1A8A" w:rsidRDefault="000F1A8A" w:rsidP="004B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BFE" w14:textId="77777777" w:rsidR="000F1A8A" w:rsidRDefault="000F1A8A" w:rsidP="004B0A8A">
      <w:r>
        <w:separator/>
      </w:r>
    </w:p>
  </w:footnote>
  <w:footnote w:type="continuationSeparator" w:id="0">
    <w:p w14:paraId="0546B4F5" w14:textId="77777777" w:rsidR="000F1A8A" w:rsidRDefault="000F1A8A" w:rsidP="004B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A0B"/>
    <w:multiLevelType w:val="hybridMultilevel"/>
    <w:tmpl w:val="11D21548"/>
    <w:lvl w:ilvl="0" w:tplc="040C000F">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E3040B"/>
    <w:multiLevelType w:val="hybridMultilevel"/>
    <w:tmpl w:val="B1A0CC1A"/>
    <w:lvl w:ilvl="0" w:tplc="42E00B8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E3E61"/>
    <w:multiLevelType w:val="hybridMultilevel"/>
    <w:tmpl w:val="88B61E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E37134"/>
    <w:multiLevelType w:val="hybridMultilevel"/>
    <w:tmpl w:val="4B0EDA78"/>
    <w:lvl w:ilvl="0" w:tplc="040C000B">
      <w:start w:val="1"/>
      <w:numFmt w:val="bullet"/>
      <w:lvlText w:val=""/>
      <w:lvlJc w:val="left"/>
      <w:pPr>
        <w:ind w:left="786" w:hanging="360"/>
      </w:pPr>
      <w:rPr>
        <w:rFonts w:ascii="Wingdings" w:hAnsi="Wingdings" w:hint="default"/>
        <w:b w:val="0"/>
        <w:i w:val="0"/>
        <w:color w:val="auto"/>
        <w:sz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37502C6C"/>
    <w:multiLevelType w:val="hybridMultilevel"/>
    <w:tmpl w:val="B8AC2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F02F84"/>
    <w:multiLevelType w:val="hybridMultilevel"/>
    <w:tmpl w:val="2CC8385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619B4DBA"/>
    <w:multiLevelType w:val="hybridMultilevel"/>
    <w:tmpl w:val="E0DE26A4"/>
    <w:lvl w:ilvl="0" w:tplc="42E00B82">
      <w:start w:val="5"/>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6DD7A7B"/>
    <w:multiLevelType w:val="hybridMultilevel"/>
    <w:tmpl w:val="5D9207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BF61795"/>
    <w:multiLevelType w:val="hybridMultilevel"/>
    <w:tmpl w:val="946EE372"/>
    <w:lvl w:ilvl="0" w:tplc="0A32A04A">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1071A1"/>
    <w:multiLevelType w:val="hybridMultilevel"/>
    <w:tmpl w:val="4672185C"/>
    <w:lvl w:ilvl="0" w:tplc="F41C8C22">
      <w:start w:val="1"/>
      <w:numFmt w:val="decimal"/>
      <w:lvlText w:val="%1."/>
      <w:lvlJc w:val="left"/>
      <w:pPr>
        <w:ind w:left="360" w:hanging="360"/>
      </w:pPr>
      <w:rPr>
        <w:rFonts w:hint="default"/>
        <w:b w:val="0"/>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BF372E8"/>
    <w:multiLevelType w:val="hybridMultilevel"/>
    <w:tmpl w:val="9EDA90FE"/>
    <w:lvl w:ilvl="0" w:tplc="A9E66B44">
      <w:start w:val="1"/>
      <w:numFmt w:val="decimal"/>
      <w:lvlText w:val="%1."/>
      <w:lvlJc w:val="left"/>
      <w:pPr>
        <w:ind w:left="177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10"/>
  </w:num>
  <w:num w:numId="6">
    <w:abstractNumId w:val="9"/>
  </w:num>
  <w:num w:numId="7">
    <w:abstractNumId w:val="3"/>
  </w:num>
  <w:num w:numId="8">
    <w:abstractNumId w:val="4"/>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64"/>
    <w:rsid w:val="000A1F49"/>
    <w:rsid w:val="000F1A8A"/>
    <w:rsid w:val="00142671"/>
    <w:rsid w:val="00156CCA"/>
    <w:rsid w:val="00156DD0"/>
    <w:rsid w:val="001A2F61"/>
    <w:rsid w:val="001F0D2F"/>
    <w:rsid w:val="0029752E"/>
    <w:rsid w:val="002E5BF8"/>
    <w:rsid w:val="002F42F1"/>
    <w:rsid w:val="002F573E"/>
    <w:rsid w:val="00301454"/>
    <w:rsid w:val="003C73A4"/>
    <w:rsid w:val="003F4721"/>
    <w:rsid w:val="0048417D"/>
    <w:rsid w:val="004B0A8A"/>
    <w:rsid w:val="004F6D08"/>
    <w:rsid w:val="00580F11"/>
    <w:rsid w:val="00616297"/>
    <w:rsid w:val="006529A8"/>
    <w:rsid w:val="00662679"/>
    <w:rsid w:val="006E0EC5"/>
    <w:rsid w:val="00796822"/>
    <w:rsid w:val="007B5864"/>
    <w:rsid w:val="00807A96"/>
    <w:rsid w:val="009316C5"/>
    <w:rsid w:val="009E7EF7"/>
    <w:rsid w:val="00A27BE6"/>
    <w:rsid w:val="00A5741C"/>
    <w:rsid w:val="00A83B2E"/>
    <w:rsid w:val="00AC7DC6"/>
    <w:rsid w:val="00BB4772"/>
    <w:rsid w:val="00C31B9D"/>
    <w:rsid w:val="00CC168D"/>
    <w:rsid w:val="00CD76B2"/>
    <w:rsid w:val="00DB2ECB"/>
    <w:rsid w:val="00DB6242"/>
    <w:rsid w:val="00EC0A61"/>
    <w:rsid w:val="00F31576"/>
    <w:rsid w:val="00F83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E8E8"/>
  <w15:chartTrackingRefBased/>
  <w15:docId w15:val="{2BD70CA6-DE0A-4299-9A15-04171168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64"/>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uiPriority w:val="99"/>
    <w:qFormat/>
    <w:rsid w:val="007B5864"/>
    <w:pPr>
      <w:spacing w:after="200"/>
      <w:jc w:val="center"/>
      <w:outlineLvl w:val="0"/>
    </w:pPr>
    <w:rPr>
      <w:b/>
      <w:kern w:val="28"/>
      <w:sz w:val="52"/>
    </w:rPr>
  </w:style>
  <w:style w:type="paragraph" w:styleId="Titre2">
    <w:name w:val="heading 2"/>
    <w:basedOn w:val="Normal"/>
    <w:next w:val="Normal"/>
    <w:link w:val="Titre2Car"/>
    <w:uiPriority w:val="9"/>
    <w:semiHidden/>
    <w:unhideWhenUsed/>
    <w:qFormat/>
    <w:rsid w:val="004B0A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7B5864"/>
    <w:rPr>
      <w:rFonts w:ascii="Times New Roman" w:eastAsia="Times New Roman" w:hAnsi="Times New Roman" w:cs="Times New Roman"/>
      <w:b/>
      <w:kern w:val="28"/>
      <w:sz w:val="52"/>
      <w:szCs w:val="20"/>
      <w:lang w:eastAsia="fr-FR"/>
    </w:rPr>
  </w:style>
  <w:style w:type="paragraph" w:customStyle="1" w:styleId="BankNormal">
    <w:name w:val="BankNormal"/>
    <w:basedOn w:val="Normal"/>
    <w:uiPriority w:val="99"/>
    <w:rsid w:val="007B5864"/>
    <w:pPr>
      <w:spacing w:after="240"/>
    </w:pPr>
    <w:rPr>
      <w:lang w:val="en-US"/>
    </w:rPr>
  </w:style>
  <w:style w:type="paragraph" w:styleId="Paragraphedeliste">
    <w:name w:val="List Paragraph"/>
    <w:basedOn w:val="Normal"/>
    <w:uiPriority w:val="34"/>
    <w:qFormat/>
    <w:rsid w:val="007B5864"/>
    <w:pPr>
      <w:ind w:left="720"/>
      <w:contextualSpacing/>
    </w:pPr>
  </w:style>
  <w:style w:type="table" w:styleId="Grilledutableau">
    <w:name w:val="Table Grid"/>
    <w:basedOn w:val="TableauNormal"/>
    <w:uiPriority w:val="39"/>
    <w:rsid w:val="007B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4B0A8A"/>
    <w:rPr>
      <w:rFonts w:asciiTheme="majorHAnsi" w:eastAsiaTheme="majorEastAsia" w:hAnsiTheme="majorHAnsi" w:cstheme="majorBidi"/>
      <w:color w:val="2F5496" w:themeColor="accent1" w:themeShade="BF"/>
      <w:sz w:val="26"/>
      <w:szCs w:val="26"/>
      <w:lang w:eastAsia="fr-FR"/>
    </w:rPr>
  </w:style>
  <w:style w:type="character" w:styleId="Appelnotedebasdep">
    <w:name w:val="footnote reference"/>
    <w:uiPriority w:val="99"/>
    <w:semiHidden/>
    <w:rsid w:val="004B0A8A"/>
    <w:rPr>
      <w:rFonts w:ascii="Times New Roman" w:hAnsi="Times New Roman"/>
      <w:color w:val="auto"/>
      <w:spacing w:val="0"/>
      <w:kern w:val="0"/>
      <w:position w:val="0"/>
      <w:sz w:val="20"/>
      <w:u w:val="none"/>
      <w:vertAlign w:val="superscript"/>
    </w:rPr>
  </w:style>
  <w:style w:type="paragraph" w:styleId="Notedebasdepage">
    <w:name w:val="footnote text"/>
    <w:basedOn w:val="Normal"/>
    <w:link w:val="NotedebasdepageCar"/>
    <w:uiPriority w:val="99"/>
    <w:semiHidden/>
    <w:rsid w:val="004B0A8A"/>
    <w:pPr>
      <w:jc w:val="both"/>
    </w:pPr>
    <w:rPr>
      <w:sz w:val="20"/>
    </w:rPr>
  </w:style>
  <w:style w:type="character" w:customStyle="1" w:styleId="NotedebasdepageCar">
    <w:name w:val="Note de bas de page Car"/>
    <w:basedOn w:val="Policepardfaut"/>
    <w:link w:val="Notedebasdepage"/>
    <w:uiPriority w:val="99"/>
    <w:semiHidden/>
    <w:rsid w:val="004B0A8A"/>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4B0A8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Paul</cp:lastModifiedBy>
  <cp:revision>2</cp:revision>
  <cp:lastPrinted>2023-05-04T11:08:00Z</cp:lastPrinted>
  <dcterms:created xsi:type="dcterms:W3CDTF">2023-05-11T08:59:00Z</dcterms:created>
  <dcterms:modified xsi:type="dcterms:W3CDTF">2023-05-11T08:59:00Z</dcterms:modified>
</cp:coreProperties>
</file>